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697C75" w14:textId="2D18B90B" w:rsidR="004241AC" w:rsidRPr="00462889" w:rsidRDefault="00246598" w:rsidP="004241AC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462889">
        <w:rPr>
          <w:noProof/>
          <w:lang w:eastAsia="it-IT"/>
        </w:rPr>
        <w:drawing>
          <wp:anchor distT="0" distB="0" distL="114300" distR="114300" simplePos="0" relativeHeight="251658752" behindDoc="0" locked="0" layoutInCell="1" allowOverlap="1" wp14:anchorId="5ABA4D76" wp14:editId="37DC8627">
            <wp:simplePos x="0" y="0"/>
            <wp:positionH relativeFrom="character">
              <wp:posOffset>-1252220</wp:posOffset>
            </wp:positionH>
            <wp:positionV relativeFrom="line">
              <wp:posOffset>1270</wp:posOffset>
            </wp:positionV>
            <wp:extent cx="2529840" cy="937895"/>
            <wp:effectExtent l="0" t="0" r="0" b="0"/>
            <wp:wrapSquare wrapText="bothSides"/>
            <wp:docPr id="2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937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D85EFB" w14:textId="77777777" w:rsidR="004241AC" w:rsidRPr="00462889" w:rsidRDefault="004241AC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EC0B227" w14:textId="77777777" w:rsidR="006222F7" w:rsidRPr="00462889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bookmarkStart w:id="0" w:name="Text15"/>
    </w:p>
    <w:p w14:paraId="517F5C75" w14:textId="77777777" w:rsidR="006222F7" w:rsidRPr="00462889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1E0AC9A0" w14:textId="77777777" w:rsidR="006222F7" w:rsidRPr="00462889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1EE5BFCA" w14:textId="77777777" w:rsidR="006222F7" w:rsidRPr="00462889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EFB78DA" w14:textId="77777777" w:rsidR="006222F7" w:rsidRPr="00462889" w:rsidRDefault="006222F7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058468B" w14:textId="6C7A239B" w:rsidR="00823F4C" w:rsidRPr="00462889" w:rsidRDefault="00823F4C" w:rsidP="00823F4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Relazione Pubblica di Valutazione</w:t>
      </w:r>
    </w:p>
    <w:p w14:paraId="15972C5F" w14:textId="77777777" w:rsidR="004241AC" w:rsidRPr="00462889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38E053D" w14:textId="77777777" w:rsidR="00823F4C" w:rsidRPr="00462889" w:rsidRDefault="00823F4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A6BCEFF" w14:textId="77777777" w:rsidR="004609F8" w:rsidRPr="00462889" w:rsidRDefault="004609F8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4F104AB" w14:textId="3BF659DD" w:rsidR="00BF7A42" w:rsidRPr="00462889" w:rsidRDefault="008E25FD">
      <w:pPr>
        <w:widowControl w:val="0"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B</w:t>
      </w:r>
      <w:r w:rsidR="004F211A" w:rsidRPr="00462889">
        <w:rPr>
          <w:rFonts w:cs="Calibri"/>
          <w:b/>
          <w:sz w:val="24"/>
          <w:szCs w:val="24"/>
        </w:rPr>
        <w:t>rivaracetam</w:t>
      </w:r>
      <w:r w:rsidRPr="00462889">
        <w:rPr>
          <w:rFonts w:cs="Calibri"/>
          <w:b/>
          <w:sz w:val="24"/>
          <w:szCs w:val="24"/>
        </w:rPr>
        <w:t xml:space="preserve"> P</w:t>
      </w:r>
      <w:r w:rsidR="004F211A" w:rsidRPr="00462889">
        <w:rPr>
          <w:rFonts w:cs="Calibri"/>
          <w:b/>
          <w:sz w:val="24"/>
          <w:szCs w:val="24"/>
        </w:rPr>
        <w:t>ensa</w:t>
      </w:r>
    </w:p>
    <w:p w14:paraId="5D4D13DF" w14:textId="77777777" w:rsidR="004609F8" w:rsidRPr="00462889" w:rsidRDefault="004609F8" w:rsidP="004241AC">
      <w:pPr>
        <w:widowControl w:val="0"/>
        <w:spacing w:after="0" w:line="240" w:lineRule="auto"/>
        <w:jc w:val="center"/>
        <w:rPr>
          <w:rFonts w:cs="Calibri"/>
          <w:snapToGrid w:val="0"/>
          <w:sz w:val="24"/>
          <w:szCs w:val="24"/>
        </w:rPr>
      </w:pPr>
    </w:p>
    <w:p w14:paraId="710046AC" w14:textId="3DB85C41" w:rsidR="004241AC" w:rsidRPr="00462889" w:rsidRDefault="004241AC" w:rsidP="004241AC">
      <w:pPr>
        <w:widowControl w:val="0"/>
        <w:spacing w:after="0" w:line="240" w:lineRule="auto"/>
        <w:jc w:val="center"/>
        <w:rPr>
          <w:rFonts w:cs="Calibri"/>
          <w:snapToGrid w:val="0"/>
          <w:sz w:val="24"/>
          <w:szCs w:val="24"/>
        </w:rPr>
      </w:pPr>
      <w:r w:rsidRPr="00462889">
        <w:rPr>
          <w:rFonts w:cs="Calibri"/>
          <w:snapToGrid w:val="0"/>
          <w:sz w:val="24"/>
          <w:szCs w:val="24"/>
        </w:rPr>
        <w:t xml:space="preserve"> (</w:t>
      </w:r>
      <w:r w:rsidR="001C2F13" w:rsidRPr="00462889">
        <w:rPr>
          <w:rFonts w:cs="Calibri"/>
          <w:snapToGrid w:val="0"/>
          <w:sz w:val="24"/>
          <w:szCs w:val="24"/>
        </w:rPr>
        <w:t>brivaracetam</w:t>
      </w:r>
      <w:r w:rsidR="002A1800" w:rsidRPr="00462889">
        <w:rPr>
          <w:rFonts w:cs="Calibri"/>
          <w:snapToGrid w:val="0"/>
          <w:sz w:val="24"/>
          <w:szCs w:val="24"/>
        </w:rPr>
        <w:t xml:space="preserve">, </w:t>
      </w:r>
      <w:r w:rsidR="00635E6B" w:rsidRPr="00462889">
        <w:rPr>
          <w:rFonts w:cs="Calibri"/>
          <w:snapToGrid w:val="0"/>
          <w:sz w:val="24"/>
          <w:szCs w:val="24"/>
        </w:rPr>
        <w:t>c</w:t>
      </w:r>
      <w:r w:rsidR="001C2F13" w:rsidRPr="00462889">
        <w:rPr>
          <w:rFonts w:cs="Calibri"/>
          <w:snapToGrid w:val="0"/>
          <w:sz w:val="24"/>
          <w:szCs w:val="24"/>
        </w:rPr>
        <w:t>ompresse rivestite con film, 10</w:t>
      </w:r>
      <w:r w:rsidR="00FA287F" w:rsidRPr="00462889">
        <w:rPr>
          <w:rFonts w:cs="Calibri"/>
          <w:snapToGrid w:val="0"/>
          <w:sz w:val="24"/>
          <w:szCs w:val="24"/>
        </w:rPr>
        <w:t xml:space="preserve"> mg, 25 mg, 50 mg, 75 mg, 100 mg</w:t>
      </w:r>
      <w:r w:rsidRPr="00462889">
        <w:rPr>
          <w:rFonts w:cs="Calibri"/>
          <w:snapToGrid w:val="0"/>
          <w:sz w:val="24"/>
          <w:szCs w:val="24"/>
        </w:rPr>
        <w:t>)</w:t>
      </w:r>
    </w:p>
    <w:p w14:paraId="32A42D92" w14:textId="77777777" w:rsidR="004241AC" w:rsidRPr="00462889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1049FFC7" w14:textId="560ED751" w:rsidR="00EC3589" w:rsidRPr="00462889" w:rsidRDefault="004F211A" w:rsidP="004241AC">
      <w:pPr>
        <w:spacing w:after="0" w:line="240" w:lineRule="auto"/>
        <w:jc w:val="center"/>
        <w:rPr>
          <w:rFonts w:cs="Calibri"/>
          <w:b/>
          <w:sz w:val="24"/>
          <w:szCs w:val="24"/>
          <w:lang w:val="en-GB"/>
        </w:rPr>
      </w:pPr>
      <w:r w:rsidRPr="00462889">
        <w:rPr>
          <w:rFonts w:cs="Calibri"/>
          <w:b/>
          <w:sz w:val="24"/>
          <w:szCs w:val="24"/>
          <w:lang w:val="en-GB"/>
        </w:rPr>
        <w:t>Towa Pharmaceutical S.p.</w:t>
      </w:r>
      <w:r w:rsidR="002D7BB9" w:rsidRPr="00462889">
        <w:rPr>
          <w:rFonts w:cs="Calibri"/>
          <w:b/>
          <w:sz w:val="24"/>
          <w:szCs w:val="24"/>
          <w:lang w:val="en-GB"/>
        </w:rPr>
        <w:t>A</w:t>
      </w:r>
      <w:r w:rsidRPr="00462889">
        <w:rPr>
          <w:rFonts w:cs="Calibri"/>
          <w:b/>
          <w:sz w:val="24"/>
          <w:szCs w:val="24"/>
          <w:lang w:val="en-GB"/>
        </w:rPr>
        <w:t>.</w:t>
      </w:r>
    </w:p>
    <w:p w14:paraId="01E63656" w14:textId="77777777" w:rsidR="004609F8" w:rsidRPr="00462889" w:rsidRDefault="004609F8" w:rsidP="004241AC">
      <w:pPr>
        <w:spacing w:after="0" w:line="240" w:lineRule="auto"/>
        <w:jc w:val="center"/>
        <w:rPr>
          <w:rFonts w:cs="Calibri"/>
          <w:b/>
          <w:sz w:val="24"/>
          <w:szCs w:val="24"/>
          <w:lang w:val="en-GB"/>
        </w:rPr>
      </w:pPr>
    </w:p>
    <w:p w14:paraId="77BF27D4" w14:textId="14925BF4" w:rsidR="004241AC" w:rsidRPr="00462889" w:rsidRDefault="004241AC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 xml:space="preserve">Numero di AIC: </w:t>
      </w:r>
      <w:r w:rsidR="00FA287F" w:rsidRPr="00462889">
        <w:rPr>
          <w:rFonts w:cs="Calibri"/>
          <w:b/>
          <w:sz w:val="24"/>
          <w:szCs w:val="24"/>
        </w:rPr>
        <w:t>051728</w:t>
      </w:r>
    </w:p>
    <w:p w14:paraId="7B67DEC2" w14:textId="77777777" w:rsidR="00797416" w:rsidRPr="00462889" w:rsidRDefault="00797416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bookmarkEnd w:id="0"/>
    <w:p w14:paraId="5AD9BB3A" w14:textId="77777777" w:rsidR="004241AC" w:rsidRPr="00462889" w:rsidRDefault="004241AC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DF0788F" w14:textId="77777777" w:rsidR="004E5A39" w:rsidRPr="00462889" w:rsidRDefault="004E5A39" w:rsidP="004241AC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D4DF3A5" w14:textId="77777777" w:rsidR="004E5A39" w:rsidRPr="00462889" w:rsidRDefault="004E5A39" w:rsidP="004E5A39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  <w:sz w:val="24"/>
          <w:szCs w:val="24"/>
          <w:lang w:eastAsia="it-IT"/>
        </w:rPr>
      </w:pPr>
      <w:r w:rsidRPr="00462889">
        <w:rPr>
          <w:rFonts w:cs="Calibri"/>
          <w:b/>
          <w:color w:val="000000"/>
          <w:sz w:val="24"/>
          <w:szCs w:val="24"/>
          <w:lang w:eastAsia="it-IT"/>
        </w:rPr>
        <w:t>RIASSUNTO DELLA RELAZIONE PUBBLICA DI VALUTAZIONE</w:t>
      </w:r>
    </w:p>
    <w:p w14:paraId="7288D7C8" w14:textId="77777777" w:rsidR="004E5A39" w:rsidRPr="00462889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06CB0181" w14:textId="74E2378B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color w:val="000000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 xml:space="preserve">Questa è la sintesi del </w:t>
      </w:r>
      <w:r w:rsidRPr="00462889">
        <w:rPr>
          <w:rFonts w:cs="Calibri"/>
          <w:i/>
          <w:color w:val="000000"/>
          <w:sz w:val="24"/>
          <w:szCs w:val="24"/>
          <w:lang w:eastAsia="it-IT"/>
        </w:rPr>
        <w:t>Public Assessment Report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(PAR) per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color w:val="000000"/>
          <w:sz w:val="24"/>
          <w:szCs w:val="24"/>
          <w:lang w:eastAsia="it-IT"/>
        </w:rPr>
        <w:t>.</w:t>
      </w:r>
      <w:r w:rsidRPr="00462889">
        <w:rPr>
          <w:rFonts w:cs="Calibri"/>
          <w:bCs/>
          <w:color w:val="000000"/>
          <w:sz w:val="24"/>
          <w:szCs w:val="24"/>
          <w:lang w:eastAsia="it-IT"/>
        </w:rPr>
        <w:t xml:space="preserve"> </w:t>
      </w:r>
      <w:r w:rsidR="006C0722" w:rsidRPr="00462889">
        <w:rPr>
          <w:rFonts w:cs="Calibri"/>
          <w:bCs/>
          <w:color w:val="000000"/>
          <w:sz w:val="24"/>
          <w:szCs w:val="24"/>
          <w:lang w:eastAsia="it-IT"/>
        </w:rPr>
        <w:t xml:space="preserve">In </w:t>
      </w:r>
      <w:r w:rsidR="006C0722" w:rsidRPr="00462889">
        <w:rPr>
          <w:rFonts w:cs="Calibri"/>
          <w:color w:val="000000"/>
          <w:sz w:val="24"/>
          <w:szCs w:val="24"/>
          <w:lang w:eastAsia="it-IT"/>
        </w:rPr>
        <w:t>e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sso </w:t>
      </w:r>
      <w:r w:rsidR="006C0722" w:rsidRPr="00462889">
        <w:rPr>
          <w:rFonts w:cs="Calibri"/>
          <w:color w:val="000000"/>
          <w:sz w:val="24"/>
          <w:szCs w:val="24"/>
          <w:lang w:eastAsia="it-IT"/>
        </w:rPr>
        <w:t xml:space="preserve">viene </w:t>
      </w:r>
      <w:r w:rsidRPr="00462889">
        <w:rPr>
          <w:rFonts w:cs="Calibri"/>
          <w:color w:val="000000"/>
          <w:sz w:val="24"/>
          <w:szCs w:val="24"/>
          <w:lang w:eastAsia="it-IT"/>
        </w:rPr>
        <w:t>spiega</w:t>
      </w:r>
      <w:r w:rsidR="006C0722" w:rsidRPr="00462889">
        <w:rPr>
          <w:rFonts w:cs="Calibri"/>
          <w:color w:val="000000"/>
          <w:sz w:val="24"/>
          <w:szCs w:val="24"/>
          <w:lang w:eastAsia="it-IT"/>
        </w:rPr>
        <w:t>to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come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è stato valutato </w:t>
      </w:r>
      <w:r w:rsidR="000C1389" w:rsidRPr="00462889">
        <w:rPr>
          <w:rFonts w:cs="Calibri"/>
          <w:color w:val="000000"/>
          <w:sz w:val="24"/>
          <w:szCs w:val="24"/>
          <w:lang w:eastAsia="it-IT"/>
        </w:rPr>
        <w:t>dall’AIFA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e</w:t>
      </w:r>
      <w:r w:rsidR="006C0722" w:rsidRPr="00462889">
        <w:rPr>
          <w:rFonts w:cs="Calibri"/>
          <w:color w:val="000000"/>
          <w:sz w:val="24"/>
          <w:szCs w:val="24"/>
          <w:lang w:eastAsia="it-IT"/>
        </w:rPr>
        <w:t xml:space="preserve"> quali sono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le sue condizioni di impiego. </w:t>
      </w:r>
      <w:r w:rsidR="006C0722" w:rsidRPr="00462889">
        <w:rPr>
          <w:rFonts w:cs="Calibri"/>
          <w:color w:val="000000"/>
          <w:sz w:val="24"/>
          <w:szCs w:val="24"/>
          <w:lang w:eastAsia="it-IT"/>
        </w:rPr>
        <w:t>Il documento n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on intende fornire consigli pratici su come utilizzare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bCs/>
          <w:color w:val="000000"/>
          <w:sz w:val="24"/>
          <w:szCs w:val="24"/>
          <w:lang w:eastAsia="it-IT"/>
        </w:rPr>
        <w:t>.</w:t>
      </w:r>
    </w:p>
    <w:p w14:paraId="3505706E" w14:textId="6F310D37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Per informazioni pratiche sull'utilizzo di</w:t>
      </w:r>
      <w:r w:rsidRPr="00462889">
        <w:rPr>
          <w:rFonts w:cs="Calibri"/>
          <w:bCs/>
          <w:color w:val="000000"/>
          <w:sz w:val="24"/>
          <w:szCs w:val="24"/>
          <w:lang w:eastAsia="it-IT"/>
        </w:rPr>
        <w:t xml:space="preserve">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6C0722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i pazienti devono consultare il foglio illustrativo o contattare il loro medico o il farmacista. </w:t>
      </w:r>
    </w:p>
    <w:p w14:paraId="2CB6F923" w14:textId="77777777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02809101" w14:textId="77777777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19478C50" w14:textId="4EC59E37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4"/>
          <w:szCs w:val="24"/>
          <w:lang w:eastAsia="it-IT"/>
        </w:rPr>
      </w:pPr>
      <w:r w:rsidRPr="00462889">
        <w:rPr>
          <w:rFonts w:cs="Calibri"/>
          <w:b/>
          <w:bCs/>
          <w:color w:val="000000"/>
          <w:sz w:val="24"/>
          <w:szCs w:val="24"/>
          <w:lang w:eastAsia="it-IT"/>
        </w:rPr>
        <w:t xml:space="preserve">1) COS’È </w:t>
      </w:r>
      <w:r w:rsidR="004F211A" w:rsidRPr="00462889">
        <w:rPr>
          <w:rFonts w:cs="Calibri"/>
          <w:b/>
          <w:color w:val="000000"/>
          <w:sz w:val="24"/>
          <w:szCs w:val="24"/>
          <w:lang w:eastAsia="it-IT"/>
        </w:rPr>
        <w:t>Brivaracetam Pensa</w:t>
      </w:r>
      <w:r w:rsidR="00797416" w:rsidRPr="00462889">
        <w:rPr>
          <w:rFonts w:cs="Calibri"/>
          <w:b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b/>
          <w:bCs/>
          <w:color w:val="000000"/>
          <w:sz w:val="24"/>
          <w:szCs w:val="24"/>
          <w:lang w:eastAsia="it-IT"/>
        </w:rPr>
        <w:t xml:space="preserve">E A COSA SERVE? </w:t>
      </w:r>
    </w:p>
    <w:p w14:paraId="3D076FB4" w14:textId="24FD0E6B" w:rsidR="00797416" w:rsidRPr="00462889" w:rsidRDefault="004F211A" w:rsidP="00BB2AF8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797416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462889">
        <w:rPr>
          <w:rFonts w:cs="Calibri"/>
          <w:color w:val="000000"/>
          <w:sz w:val="24"/>
          <w:szCs w:val="24"/>
          <w:lang w:eastAsia="it-IT"/>
        </w:rPr>
        <w:t>è un medicinale</w:t>
      </w:r>
      <w:r w:rsidR="009565BA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462889">
        <w:rPr>
          <w:rFonts w:cs="Calibri"/>
          <w:color w:val="000000"/>
          <w:sz w:val="24"/>
          <w:szCs w:val="24"/>
          <w:lang w:eastAsia="it-IT"/>
        </w:rPr>
        <w:t xml:space="preserve">contenente il principio attivo </w:t>
      </w:r>
      <w:r w:rsidR="00635E6B" w:rsidRPr="00462889">
        <w:rPr>
          <w:rFonts w:cs="Calibri"/>
          <w:color w:val="000000"/>
          <w:sz w:val="24"/>
          <w:szCs w:val="24"/>
          <w:lang w:eastAsia="it-IT"/>
        </w:rPr>
        <w:t>brivaracetam</w:t>
      </w:r>
      <w:r w:rsidR="00797416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462889">
        <w:rPr>
          <w:rFonts w:cs="Calibri"/>
          <w:color w:val="000000"/>
          <w:sz w:val="24"/>
          <w:szCs w:val="24"/>
          <w:lang w:eastAsia="it-IT"/>
        </w:rPr>
        <w:t xml:space="preserve">ed </w:t>
      </w:r>
      <w:r w:rsidR="00797416" w:rsidRPr="00462889">
        <w:rPr>
          <w:rFonts w:cs="Calibri"/>
          <w:color w:val="000000"/>
          <w:sz w:val="24"/>
          <w:szCs w:val="24"/>
          <w:lang w:eastAsia="it-IT"/>
        </w:rPr>
        <w:t>è disponibile come</w:t>
      </w:r>
      <w:r w:rsidR="00635E6B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797416" w:rsidRPr="00462889">
        <w:rPr>
          <w:rFonts w:cs="Calibri"/>
          <w:color w:val="000000"/>
          <w:sz w:val="24"/>
          <w:szCs w:val="24"/>
          <w:lang w:eastAsia="it-IT"/>
        </w:rPr>
        <w:t>compresse</w:t>
      </w:r>
      <w:r w:rsidR="00635E6B" w:rsidRPr="00462889">
        <w:rPr>
          <w:rFonts w:cs="Calibri"/>
          <w:color w:val="000000"/>
          <w:sz w:val="24"/>
          <w:szCs w:val="24"/>
          <w:lang w:eastAsia="it-IT"/>
        </w:rPr>
        <w:t xml:space="preserve"> rivestire con film</w:t>
      </w:r>
      <w:r w:rsidR="00BB2AF8" w:rsidRPr="00462889">
        <w:rPr>
          <w:rFonts w:cs="Calibri"/>
          <w:color w:val="000000"/>
          <w:sz w:val="24"/>
          <w:szCs w:val="24"/>
          <w:lang w:eastAsia="it-IT"/>
        </w:rPr>
        <w:t xml:space="preserve"> contenent</w:t>
      </w:r>
      <w:r w:rsidR="00797416" w:rsidRPr="00462889">
        <w:rPr>
          <w:rFonts w:cs="Calibri"/>
          <w:color w:val="000000"/>
          <w:sz w:val="24"/>
          <w:szCs w:val="24"/>
          <w:lang w:eastAsia="it-IT"/>
        </w:rPr>
        <w:t>i</w:t>
      </w:r>
      <w:r w:rsidR="00BB2AF8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635E6B" w:rsidRPr="00462889">
        <w:rPr>
          <w:rFonts w:cs="Calibri"/>
          <w:snapToGrid w:val="0"/>
          <w:sz w:val="24"/>
          <w:szCs w:val="24"/>
        </w:rPr>
        <w:t>10 mg, 25 mg, 50 mg, 75 mg e 100 mg</w:t>
      </w:r>
      <w:r w:rsidR="00635E6B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797416" w:rsidRPr="00462889">
        <w:rPr>
          <w:rFonts w:cs="Calibri"/>
          <w:color w:val="000000"/>
          <w:sz w:val="24"/>
          <w:szCs w:val="24"/>
          <w:lang w:eastAsia="it-IT"/>
        </w:rPr>
        <w:t>di</w:t>
      </w:r>
      <w:r w:rsidR="00BB2AF8" w:rsidRPr="00462889">
        <w:rPr>
          <w:rFonts w:cs="Calibri"/>
          <w:color w:val="000000"/>
          <w:sz w:val="24"/>
          <w:szCs w:val="24"/>
          <w:lang w:eastAsia="it-IT"/>
        </w:rPr>
        <w:t xml:space="preserve"> principio attivo</w:t>
      </w:r>
      <w:r w:rsidR="00635E6B" w:rsidRPr="00462889">
        <w:rPr>
          <w:rFonts w:cs="Calibri"/>
          <w:color w:val="000000"/>
          <w:sz w:val="24"/>
          <w:szCs w:val="24"/>
          <w:lang w:eastAsia="it-IT"/>
        </w:rPr>
        <w:t>.</w:t>
      </w:r>
    </w:p>
    <w:p w14:paraId="64A87B89" w14:textId="77777777" w:rsidR="00132B98" w:rsidRPr="00462889" w:rsidRDefault="00132B98" w:rsidP="00BB2AF8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57E037FC" w14:textId="5C4A171A" w:rsidR="00F801F9" w:rsidRPr="00462889" w:rsidRDefault="004F211A" w:rsidP="00B03E0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797416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462889">
        <w:rPr>
          <w:rFonts w:cs="Calibri"/>
          <w:color w:val="000000"/>
          <w:sz w:val="24"/>
          <w:szCs w:val="24"/>
          <w:lang w:eastAsia="it-IT"/>
        </w:rPr>
        <w:t xml:space="preserve">è un “medicinale generico”, cioè è analogo ad un “medicinale di riferimento”, </w:t>
      </w:r>
      <w:r w:rsidR="002E4F5B" w:rsidRPr="00462889">
        <w:rPr>
          <w:rFonts w:cs="Calibri"/>
          <w:color w:val="000000"/>
          <w:sz w:val="24"/>
          <w:szCs w:val="24"/>
          <w:lang w:eastAsia="it-IT"/>
        </w:rPr>
        <w:t xml:space="preserve">Nubriveo </w:t>
      </w:r>
      <w:r w:rsidR="00F76F77" w:rsidRPr="00462889">
        <w:rPr>
          <w:rFonts w:cs="Calibri"/>
          <w:color w:val="000000"/>
          <w:sz w:val="24"/>
          <w:szCs w:val="24"/>
          <w:lang w:eastAsia="it-IT"/>
        </w:rPr>
        <w:t>in Italia</w:t>
      </w:r>
      <w:r w:rsidR="00A84362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03E01" w:rsidRPr="00462889">
        <w:rPr>
          <w:rFonts w:cs="Calibri"/>
          <w:color w:val="000000"/>
          <w:sz w:val="24"/>
          <w:szCs w:val="24"/>
          <w:lang w:eastAsia="it-IT"/>
        </w:rPr>
        <w:t xml:space="preserve">da </w:t>
      </w:r>
      <w:r w:rsidR="00CC1489" w:rsidRPr="00462889">
        <w:rPr>
          <w:rFonts w:cs="Calibri"/>
          <w:color w:val="000000"/>
          <w:sz w:val="24"/>
          <w:szCs w:val="24"/>
          <w:lang w:eastAsia="it-IT"/>
        </w:rPr>
        <w:t>almeno 8 anni</w:t>
      </w:r>
      <w:r w:rsidR="00B03E01" w:rsidRPr="00462889">
        <w:rPr>
          <w:rFonts w:cs="Calibri"/>
          <w:color w:val="000000"/>
          <w:sz w:val="24"/>
          <w:szCs w:val="24"/>
          <w:lang w:eastAsia="it-IT"/>
        </w:rPr>
        <w:t>.</w:t>
      </w:r>
      <w:r w:rsidR="004D3B32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B15135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15135" w:rsidRPr="00462889">
        <w:rPr>
          <w:rFonts w:cs="Calibri"/>
          <w:color w:val="000000"/>
          <w:sz w:val="24"/>
          <w:szCs w:val="24"/>
        </w:rPr>
        <w:t>può essere immesso in commercio solo dopo che sono trascorsi 10 anni dall'autorizzazione iniziale del medicinale di riferimento. </w:t>
      </w:r>
    </w:p>
    <w:p w14:paraId="1CBBEB96" w14:textId="2684CA8C" w:rsidR="00B03E01" w:rsidRPr="00462889" w:rsidRDefault="00B03E01" w:rsidP="00B03E0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Sul sito dell’Agenz</w:t>
      </w:r>
      <w:r w:rsidR="00132B98" w:rsidRPr="00462889">
        <w:rPr>
          <w:rFonts w:cs="Calibri"/>
          <w:color w:val="000000"/>
          <w:sz w:val="24"/>
          <w:szCs w:val="24"/>
          <w:lang w:eastAsia="it-IT"/>
        </w:rPr>
        <w:t xml:space="preserve">ia Italiana del Farmaco (AIFA) </w:t>
      </w:r>
      <w:hyperlink r:id="rId9" w:anchor="/it/" w:history="1">
        <w:r w:rsidR="00132B98" w:rsidRPr="00462889">
          <w:rPr>
            <w:rStyle w:val="Collegamentoipertestuale"/>
            <w:rFonts w:cs="Calibri"/>
            <w:sz w:val="24"/>
            <w:szCs w:val="24"/>
            <w:lang w:eastAsia="it-IT"/>
          </w:rPr>
          <w:t>https://medicinali.aifa.gov.it/it/#/it/</w:t>
        </w:r>
      </w:hyperlink>
      <w:r w:rsidR="00132B98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è possibile consultare il Riassunto delle caratteristiche del prodotto e il foglio illustrativo di </w:t>
      </w:r>
      <w:r w:rsidR="001B50AB" w:rsidRPr="00462889">
        <w:rPr>
          <w:rFonts w:cs="Calibri"/>
          <w:sz w:val="24"/>
          <w:szCs w:val="24"/>
        </w:rPr>
        <w:t>Briviact (in Italia Nubivreo)</w:t>
      </w:r>
      <w:r w:rsidRPr="00462889">
        <w:rPr>
          <w:rFonts w:cs="Calibri"/>
          <w:color w:val="000000"/>
          <w:sz w:val="24"/>
          <w:szCs w:val="24"/>
          <w:lang w:eastAsia="it-IT"/>
        </w:rPr>
        <w:t>.</w:t>
      </w:r>
    </w:p>
    <w:p w14:paraId="7049901D" w14:textId="77777777" w:rsidR="00445DB2" w:rsidRPr="00462889" w:rsidRDefault="00445DB2" w:rsidP="00B03E0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58ABE4F5" w14:textId="7AEAF37B" w:rsidR="00445DB2" w:rsidRPr="00462889" w:rsidRDefault="00445DB2" w:rsidP="00BB2AF8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 xml:space="preserve">La </w:t>
      </w:r>
      <w:r w:rsidR="006222F7" w:rsidRPr="00462889">
        <w:rPr>
          <w:rFonts w:cs="Calibri"/>
          <w:color w:val="000000"/>
          <w:sz w:val="24"/>
          <w:szCs w:val="24"/>
          <w:lang w:eastAsia="it-IT"/>
        </w:rPr>
        <w:t>società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ha fornito dati aggiuntivi per dimostrare la sicurezza e l’efficacia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in relazione a</w:t>
      </w:r>
      <w:r w:rsidR="00F76F77" w:rsidRPr="00462889">
        <w:rPr>
          <w:rFonts w:cs="Calibri"/>
          <w:color w:val="000000"/>
          <w:sz w:val="24"/>
          <w:szCs w:val="24"/>
          <w:lang w:eastAsia="it-IT"/>
        </w:rPr>
        <w:t>lle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differenz</w:t>
      </w:r>
      <w:r w:rsidR="00F76F77" w:rsidRPr="00462889">
        <w:rPr>
          <w:rFonts w:cs="Calibri"/>
          <w:color w:val="000000"/>
          <w:sz w:val="24"/>
          <w:szCs w:val="24"/>
          <w:lang w:eastAsia="it-IT"/>
        </w:rPr>
        <w:t>e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rispetto al prodotto di riferimento.</w:t>
      </w:r>
    </w:p>
    <w:p w14:paraId="557B82AA" w14:textId="77777777" w:rsidR="00E5360B" w:rsidRPr="00462889" w:rsidRDefault="00E5360B" w:rsidP="00BB2AF8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u w:val="single"/>
          <w:lang w:eastAsia="it-IT"/>
        </w:rPr>
      </w:pPr>
    </w:p>
    <w:p w14:paraId="470BA498" w14:textId="7B373ED9" w:rsidR="00453821" w:rsidRPr="00462889" w:rsidRDefault="00453821" w:rsidP="00132B9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Arial"/>
          <w:sz w:val="24"/>
          <w:szCs w:val="24"/>
        </w:rPr>
        <w:t xml:space="preserve">Il medicinale di riferimento contenente il </w:t>
      </w:r>
      <w:r w:rsidR="002E4F5B" w:rsidRPr="00462889">
        <w:rPr>
          <w:rFonts w:cs="Arial"/>
          <w:sz w:val="24"/>
          <w:szCs w:val="24"/>
        </w:rPr>
        <w:t>brivaracetam</w:t>
      </w:r>
      <w:r w:rsidRPr="00462889">
        <w:rPr>
          <w:rFonts w:cs="Arial"/>
          <w:sz w:val="24"/>
          <w:szCs w:val="24"/>
        </w:rPr>
        <w:t xml:space="preserve"> è </w:t>
      </w:r>
      <w:r w:rsidR="001B50AB" w:rsidRPr="00462889">
        <w:rPr>
          <w:rFonts w:cs="Calibri"/>
          <w:sz w:val="24"/>
          <w:szCs w:val="24"/>
        </w:rPr>
        <w:t>Briviact (in Italia Nubivreo)</w:t>
      </w:r>
      <w:r w:rsidR="001B50AB">
        <w:rPr>
          <w:rFonts w:cs="Calibri"/>
          <w:sz w:val="24"/>
          <w:szCs w:val="24"/>
        </w:rPr>
        <w:t xml:space="preserve"> </w:t>
      </w:r>
      <w:r w:rsidRPr="00462889">
        <w:rPr>
          <w:rFonts w:cs="Arial"/>
          <w:sz w:val="24"/>
          <w:szCs w:val="24"/>
        </w:rPr>
        <w:t>autorizzato in Italia</w:t>
      </w:r>
      <w:r w:rsidRPr="00462889">
        <w:rPr>
          <w:rFonts w:cs="Calibri"/>
          <w:color w:val="000000"/>
          <w:sz w:val="24"/>
          <w:szCs w:val="24"/>
          <w:lang w:eastAsia="it-IT"/>
        </w:rPr>
        <w:t>. Sul sito dell’Agenzia Italiana del Farmaco (AIFA) (</w:t>
      </w:r>
      <w:hyperlink r:id="rId10" w:anchor="/it/i" w:history="1">
        <w:r w:rsidRPr="00462889">
          <w:rPr>
            <w:rStyle w:val="Collegamentoipertestuale"/>
            <w:rFonts w:cs="Calibri"/>
            <w:sz w:val="24"/>
            <w:szCs w:val="24"/>
            <w:lang w:eastAsia="it-IT"/>
          </w:rPr>
          <w:t>https://medicinali.aifa.gov.it/it/#/it/i</w:t>
        </w:r>
      </w:hyperlink>
      <w:r w:rsidRPr="00462889">
        <w:rPr>
          <w:rFonts w:cs="Calibri"/>
          <w:sz w:val="24"/>
          <w:szCs w:val="24"/>
          <w:lang w:eastAsia="it-IT"/>
        </w:rPr>
        <w:t>)</w:t>
      </w:r>
      <w:r w:rsidRPr="00462889">
        <w:rPr>
          <w:sz w:val="24"/>
          <w:szCs w:val="24"/>
        </w:rPr>
        <w:t xml:space="preserve"> </w:t>
      </w:r>
      <w:r w:rsidRPr="00462889">
        <w:rPr>
          <w:rFonts w:cs="Calibri"/>
          <w:color w:val="000000"/>
          <w:sz w:val="24"/>
          <w:szCs w:val="24"/>
          <w:lang w:eastAsia="it-IT"/>
        </w:rPr>
        <w:t>è possibile consultare il Riassunto delle caratteristiche del prodotto e il foglio illustrativo di</w:t>
      </w:r>
      <w:r w:rsidR="002E4F5B" w:rsidRPr="00462889">
        <w:rPr>
          <w:rFonts w:cs="Calibri"/>
          <w:color w:val="000000"/>
          <w:sz w:val="24"/>
          <w:szCs w:val="24"/>
          <w:lang w:eastAsia="it-IT"/>
        </w:rPr>
        <w:t xml:space="preserve"> Nubriveo</w:t>
      </w:r>
      <w:r w:rsidR="00F510DA" w:rsidRPr="00462889">
        <w:rPr>
          <w:rFonts w:cs="Arial"/>
          <w:sz w:val="24"/>
          <w:szCs w:val="24"/>
        </w:rPr>
        <w:t>.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</w:p>
    <w:p w14:paraId="7EBC3F7F" w14:textId="77777777" w:rsidR="00445DB2" w:rsidRPr="00462889" w:rsidRDefault="00445DB2" w:rsidP="00BB2AF8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u w:val="single"/>
          <w:lang w:eastAsia="it-IT"/>
        </w:rPr>
      </w:pPr>
    </w:p>
    <w:p w14:paraId="030D99E6" w14:textId="13E2056C" w:rsidR="00BB2AF8" w:rsidRPr="00462889" w:rsidRDefault="004F211A" w:rsidP="00300BE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i/>
          <w:color w:val="000000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300BEA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462889">
        <w:rPr>
          <w:rFonts w:cs="Calibri"/>
          <w:sz w:val="24"/>
          <w:szCs w:val="24"/>
          <w:lang w:eastAsia="it-IT"/>
        </w:rPr>
        <w:t>si usa</w:t>
      </w:r>
      <w:r w:rsidR="00B03E01" w:rsidRPr="00462889">
        <w:rPr>
          <w:rFonts w:cs="Calibri"/>
          <w:sz w:val="24"/>
          <w:szCs w:val="24"/>
          <w:lang w:eastAsia="it-IT"/>
        </w:rPr>
        <w:t xml:space="preserve"> per</w:t>
      </w:r>
      <w:r w:rsidR="00851E12" w:rsidRPr="00462889">
        <w:rPr>
          <w:rFonts w:cs="Calibri"/>
          <w:sz w:val="24"/>
          <w:szCs w:val="24"/>
          <w:lang w:eastAsia="it-IT"/>
        </w:rPr>
        <w:t xml:space="preserve"> trattare l'epilessia</w:t>
      </w:r>
      <w:r w:rsidR="004F3E76" w:rsidRPr="00462889">
        <w:rPr>
          <w:rFonts w:cs="Calibri"/>
          <w:sz w:val="24"/>
          <w:szCs w:val="24"/>
          <w:lang w:eastAsia="it-IT"/>
        </w:rPr>
        <w:t>.</w:t>
      </w:r>
    </w:p>
    <w:p w14:paraId="3BD5CCC5" w14:textId="77777777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  <w:lang w:eastAsia="it-IT"/>
        </w:rPr>
      </w:pPr>
    </w:p>
    <w:p w14:paraId="141D6E99" w14:textId="77777777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4"/>
          <w:szCs w:val="24"/>
          <w:lang w:eastAsia="it-IT"/>
        </w:rPr>
      </w:pPr>
    </w:p>
    <w:p w14:paraId="4828A392" w14:textId="05CD4712" w:rsidR="00BB2AF8" w:rsidRPr="00462889" w:rsidRDefault="00BB2AF8" w:rsidP="001C15D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b/>
          <w:bCs/>
          <w:color w:val="000000"/>
          <w:sz w:val="24"/>
          <w:szCs w:val="24"/>
          <w:lang w:eastAsia="it-IT"/>
        </w:rPr>
        <w:t xml:space="preserve">2) COME E’ PRESCRITTO/USATO </w:t>
      </w:r>
      <w:r w:rsidR="004F211A" w:rsidRPr="00462889">
        <w:rPr>
          <w:rFonts w:cs="Calibri"/>
          <w:b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b/>
          <w:bCs/>
          <w:color w:val="000000"/>
          <w:sz w:val="24"/>
          <w:szCs w:val="24"/>
          <w:lang w:eastAsia="it-IT"/>
        </w:rPr>
        <w:t>?</w:t>
      </w:r>
    </w:p>
    <w:p w14:paraId="1B3DCE90" w14:textId="77777777" w:rsidR="004B5781" w:rsidRPr="00462889" w:rsidRDefault="004F211A" w:rsidP="00790B75">
      <w:pPr>
        <w:pStyle w:val="PreformattatoHTML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462889">
        <w:rPr>
          <w:rFonts w:ascii="Calibri" w:eastAsia="Calibri" w:hAnsi="Calibri" w:cs="Calibri"/>
          <w:color w:val="000000"/>
          <w:sz w:val="24"/>
          <w:szCs w:val="24"/>
        </w:rPr>
        <w:t>Brivaracetam Pensa</w:t>
      </w:r>
      <w:r w:rsidR="00300BEA" w:rsidRPr="00462889"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 w:rsidR="00BB2AF8" w:rsidRPr="00462889">
        <w:rPr>
          <w:rFonts w:ascii="Calibri" w:eastAsia="Calibri" w:hAnsi="Calibri" w:cs="Calibri"/>
          <w:color w:val="000000"/>
          <w:sz w:val="24"/>
          <w:szCs w:val="24"/>
        </w:rPr>
        <w:t xml:space="preserve">può essere ottenuto </w:t>
      </w:r>
      <w:r w:rsidR="00300BEA" w:rsidRPr="00462889">
        <w:rPr>
          <w:rFonts w:ascii="Calibri" w:eastAsia="Calibri" w:hAnsi="Calibri" w:cs="Calibri"/>
          <w:color w:val="000000"/>
          <w:sz w:val="24"/>
          <w:szCs w:val="24"/>
        </w:rPr>
        <w:t>solo su prescrizione da parte del medico (ricetta ripetibile)</w:t>
      </w:r>
      <w:r w:rsidR="004B5781" w:rsidRPr="00462889">
        <w:rPr>
          <w:rFonts w:ascii="Calibri" w:eastAsia="Calibri" w:hAnsi="Calibri" w:cs="Calibri"/>
          <w:color w:val="000000"/>
          <w:sz w:val="24"/>
          <w:szCs w:val="24"/>
        </w:rPr>
        <w:t>.</w:t>
      </w:r>
    </w:p>
    <w:p w14:paraId="1F85D2F1" w14:textId="6EC55E09" w:rsidR="005173E0" w:rsidRPr="00462889" w:rsidRDefault="005173E0" w:rsidP="00790B75">
      <w:pPr>
        <w:spacing w:line="240" w:lineRule="auto"/>
        <w:jc w:val="both"/>
        <w:rPr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La dose raccomandata giornaliera deve essere presa </w:t>
      </w:r>
      <w:r w:rsidRPr="00462889">
        <w:rPr>
          <w:sz w:val="24"/>
          <w:szCs w:val="24"/>
        </w:rPr>
        <w:t xml:space="preserve">suddivisa in due dosi uguali, a circa 12 ore di distanza. </w:t>
      </w:r>
      <w:r w:rsidRPr="00462889">
        <w:rPr>
          <w:rFonts w:cs="Calibri"/>
          <w:sz w:val="24"/>
          <w:szCs w:val="24"/>
        </w:rPr>
        <w:t xml:space="preserve">La quantità di medicinale da utilizzare è stabilita dal medico </w:t>
      </w:r>
    </w:p>
    <w:p w14:paraId="6BFA37DF" w14:textId="77777777" w:rsidR="005173E0" w:rsidRPr="00462889" w:rsidRDefault="005173E0" w:rsidP="00790B75">
      <w:pPr>
        <w:pStyle w:val="Titolo2"/>
        <w:spacing w:after="0" w:line="240" w:lineRule="auto"/>
        <w:ind w:left="0" w:firstLine="0"/>
        <w:jc w:val="both"/>
        <w:rPr>
          <w:rFonts w:ascii="Calibri" w:hAnsi="Calibri" w:cs="Calibri"/>
          <w:sz w:val="24"/>
          <w:szCs w:val="24"/>
          <w:lang w:val="it-IT"/>
        </w:rPr>
      </w:pPr>
      <w:r w:rsidRPr="00462889">
        <w:rPr>
          <w:rFonts w:ascii="Calibri" w:hAnsi="Calibri" w:cs="Calibri"/>
          <w:sz w:val="24"/>
          <w:szCs w:val="24"/>
          <w:lang w:val="it-IT"/>
        </w:rPr>
        <w:t>Adolescenti e bambini di peso pari o superiore a 50 kg, e adulti</w:t>
      </w:r>
      <w:r w:rsidRPr="00462889">
        <w:rPr>
          <w:rFonts w:ascii="Calibri" w:hAnsi="Calibri" w:cs="Calibri"/>
          <w:sz w:val="24"/>
          <w:szCs w:val="24"/>
          <w:u w:val="none"/>
          <w:lang w:val="it-IT"/>
        </w:rPr>
        <w:t xml:space="preserve"> </w:t>
      </w:r>
    </w:p>
    <w:p w14:paraId="793E5B6C" w14:textId="77777777" w:rsidR="005173E0" w:rsidRPr="00462889" w:rsidRDefault="005173E0" w:rsidP="00790B75">
      <w:pPr>
        <w:spacing w:line="240" w:lineRule="auto"/>
        <w:ind w:left="567" w:hanging="567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-</w:t>
      </w:r>
      <w:r w:rsidRPr="00462889">
        <w:rPr>
          <w:rFonts w:eastAsia="Arial" w:cs="Calibri"/>
          <w:sz w:val="24"/>
          <w:szCs w:val="24"/>
        </w:rPr>
        <w:t xml:space="preserve"> </w:t>
      </w:r>
      <w:r w:rsidRPr="00462889">
        <w:rPr>
          <w:rFonts w:eastAsia="Arial" w:cs="Calibri"/>
          <w:sz w:val="24"/>
          <w:szCs w:val="24"/>
        </w:rPr>
        <w:tab/>
      </w:r>
      <w:r w:rsidRPr="00462889">
        <w:rPr>
          <w:rFonts w:cs="Calibri"/>
          <w:sz w:val="24"/>
          <w:szCs w:val="24"/>
        </w:rPr>
        <w:t>La dose raccomandata è tra 25 mg e 100 mg da prendere due volte al giorno. Il medico potrebbe in seguito decidere di aggiustare la dose per trovare quella più adatta a lei.</w:t>
      </w:r>
    </w:p>
    <w:p w14:paraId="68463059" w14:textId="77777777" w:rsidR="005173E0" w:rsidRPr="00462889" w:rsidRDefault="005173E0" w:rsidP="00790B75">
      <w:pPr>
        <w:pStyle w:val="Titolo2"/>
        <w:spacing w:after="0" w:line="240" w:lineRule="auto"/>
        <w:ind w:left="0" w:firstLine="0"/>
        <w:jc w:val="both"/>
        <w:rPr>
          <w:rFonts w:ascii="Calibri" w:hAnsi="Calibri" w:cs="Calibri"/>
          <w:sz w:val="24"/>
          <w:szCs w:val="24"/>
          <w:lang w:val="it-IT"/>
        </w:rPr>
      </w:pPr>
      <w:r w:rsidRPr="00462889">
        <w:rPr>
          <w:rFonts w:ascii="Calibri" w:hAnsi="Calibri" w:cs="Calibri"/>
          <w:sz w:val="24"/>
          <w:szCs w:val="24"/>
          <w:lang w:val="it-IT"/>
        </w:rPr>
        <w:t>Adolescenti e bambini di peso compreso tra 20 kg e meno di 50 kg</w:t>
      </w:r>
      <w:r w:rsidRPr="00462889">
        <w:rPr>
          <w:rFonts w:ascii="Calibri" w:hAnsi="Calibri" w:cs="Calibri"/>
          <w:sz w:val="24"/>
          <w:szCs w:val="24"/>
          <w:u w:val="none"/>
          <w:lang w:val="it-IT"/>
        </w:rPr>
        <w:t xml:space="preserve">  </w:t>
      </w:r>
    </w:p>
    <w:p w14:paraId="67B9B8BF" w14:textId="77777777" w:rsidR="005173E0" w:rsidRPr="00462889" w:rsidRDefault="005173E0" w:rsidP="00790B75">
      <w:pPr>
        <w:spacing w:line="240" w:lineRule="auto"/>
        <w:ind w:left="567" w:hanging="567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-</w:t>
      </w:r>
      <w:r w:rsidRPr="00462889">
        <w:rPr>
          <w:rFonts w:eastAsia="Arial" w:cs="Calibri"/>
          <w:sz w:val="24"/>
          <w:szCs w:val="24"/>
        </w:rPr>
        <w:t xml:space="preserve"> </w:t>
      </w:r>
      <w:r w:rsidRPr="00462889">
        <w:rPr>
          <w:rFonts w:eastAsia="Arial" w:cs="Calibri"/>
          <w:sz w:val="24"/>
          <w:szCs w:val="24"/>
        </w:rPr>
        <w:tab/>
      </w:r>
      <w:r w:rsidRPr="00462889">
        <w:rPr>
          <w:rFonts w:cs="Calibri"/>
          <w:sz w:val="24"/>
          <w:szCs w:val="24"/>
        </w:rPr>
        <w:t>La dose raccomandata è tra 0,5 mg e 2 mg per ogni kg di peso corporeo, da prendere due volte al giorno. Il medico potrebbe in seguito decidere di aggiustare la dose per trovare quella più adatta a lei.</w:t>
      </w:r>
    </w:p>
    <w:p w14:paraId="5AF15F3C" w14:textId="77777777" w:rsidR="005173E0" w:rsidRPr="00462889" w:rsidRDefault="005173E0" w:rsidP="00790B75">
      <w:pPr>
        <w:pStyle w:val="Titolo2"/>
        <w:spacing w:after="0" w:line="240" w:lineRule="auto"/>
        <w:ind w:left="0" w:firstLine="0"/>
        <w:jc w:val="both"/>
        <w:rPr>
          <w:rFonts w:ascii="Calibri" w:hAnsi="Calibri" w:cs="Calibri"/>
          <w:sz w:val="24"/>
          <w:szCs w:val="24"/>
          <w:lang w:val="it-IT"/>
        </w:rPr>
      </w:pPr>
      <w:r w:rsidRPr="00462889">
        <w:rPr>
          <w:rFonts w:ascii="Calibri" w:hAnsi="Calibri" w:cs="Calibri"/>
          <w:sz w:val="24"/>
          <w:szCs w:val="24"/>
          <w:lang w:val="it-IT"/>
        </w:rPr>
        <w:t>Bambini di peso compreso tra 10 kg e meno di 20 kg</w:t>
      </w:r>
      <w:r w:rsidRPr="00462889">
        <w:rPr>
          <w:rFonts w:ascii="Calibri" w:hAnsi="Calibri" w:cs="Calibri"/>
          <w:sz w:val="24"/>
          <w:szCs w:val="24"/>
          <w:u w:val="none"/>
          <w:lang w:val="it-IT"/>
        </w:rPr>
        <w:t xml:space="preserve">  </w:t>
      </w:r>
    </w:p>
    <w:p w14:paraId="1CFE4ED5" w14:textId="702A1B74" w:rsidR="005173E0" w:rsidRPr="00462889" w:rsidRDefault="005173E0" w:rsidP="00790B75">
      <w:pPr>
        <w:pStyle w:val="Paragrafoelenco"/>
        <w:numPr>
          <w:ilvl w:val="0"/>
          <w:numId w:val="10"/>
        </w:numPr>
        <w:spacing w:after="0" w:line="240" w:lineRule="auto"/>
        <w:ind w:left="567" w:hanging="567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La dose raccomandata è tra 0,5 mg e 2,5 mg per ogni kg di peso corporeo, da prendere due volte al giorno. Il medico potrebbe in seguito decidere di aggiustare la dose per trovare quella più adatta al suo bambino.</w:t>
      </w:r>
    </w:p>
    <w:p w14:paraId="4A0BA60E" w14:textId="77777777" w:rsidR="005173E0" w:rsidRPr="00462889" w:rsidRDefault="005173E0" w:rsidP="002D2B9C">
      <w:pPr>
        <w:pStyle w:val="Paragrafoelenco"/>
        <w:spacing w:after="0" w:line="240" w:lineRule="auto"/>
        <w:ind w:left="567"/>
        <w:rPr>
          <w:rFonts w:cs="Calibri"/>
          <w:sz w:val="24"/>
          <w:szCs w:val="24"/>
        </w:rPr>
      </w:pPr>
    </w:p>
    <w:p w14:paraId="2FFA7EF8" w14:textId="77777777" w:rsidR="005173E0" w:rsidRPr="00462889" w:rsidRDefault="005173E0" w:rsidP="005173E0">
      <w:pPr>
        <w:pStyle w:val="Titolo2"/>
        <w:spacing w:after="0" w:line="240" w:lineRule="auto"/>
        <w:ind w:left="0" w:firstLine="0"/>
        <w:rPr>
          <w:rFonts w:ascii="Calibri" w:hAnsi="Calibri" w:cs="Calibri"/>
          <w:sz w:val="24"/>
          <w:szCs w:val="24"/>
          <w:lang w:val="it-IT"/>
        </w:rPr>
      </w:pPr>
      <w:r w:rsidRPr="00462889">
        <w:rPr>
          <w:rFonts w:ascii="Calibri" w:hAnsi="Calibri" w:cs="Calibri"/>
          <w:sz w:val="24"/>
          <w:szCs w:val="24"/>
          <w:lang w:val="it-IT"/>
        </w:rPr>
        <w:t>Persone con problemi al fegato</w:t>
      </w:r>
      <w:r w:rsidRPr="00462889">
        <w:rPr>
          <w:rFonts w:ascii="Calibri" w:hAnsi="Calibri" w:cs="Calibri"/>
          <w:sz w:val="24"/>
          <w:szCs w:val="24"/>
          <w:u w:val="none"/>
          <w:lang w:val="it-IT"/>
        </w:rPr>
        <w:t xml:space="preserve"> </w:t>
      </w:r>
    </w:p>
    <w:p w14:paraId="02C3470E" w14:textId="77777777" w:rsidR="005173E0" w:rsidRPr="00462889" w:rsidRDefault="005173E0" w:rsidP="00790B75">
      <w:pPr>
        <w:numPr>
          <w:ilvl w:val="0"/>
          <w:numId w:val="11"/>
        </w:numPr>
        <w:spacing w:after="0" w:line="240" w:lineRule="auto"/>
        <w:ind w:left="794" w:hanging="397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Se è un adolescente o un bambino di peso pari o superiore a 50 kg, oppure un adulto, la dose massima da assumere è 75 mg due volte al giorno.</w:t>
      </w:r>
    </w:p>
    <w:p w14:paraId="18899F35" w14:textId="77777777" w:rsidR="005173E0" w:rsidRPr="00462889" w:rsidRDefault="005173E0" w:rsidP="00790B75">
      <w:pPr>
        <w:numPr>
          <w:ilvl w:val="0"/>
          <w:numId w:val="11"/>
        </w:numPr>
        <w:spacing w:after="0" w:line="240" w:lineRule="auto"/>
        <w:ind w:left="794" w:hanging="397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Se è un adolescente o un bambino di peso compreso tra 20 kg e inferiore a 50 kg, la dose massima da assumere è 1,5 mg per ogni kg di peso corporeo due volte al giorno.</w:t>
      </w:r>
    </w:p>
    <w:p w14:paraId="72AD73CB" w14:textId="77777777" w:rsidR="005173E0" w:rsidRPr="00462889" w:rsidRDefault="005173E0" w:rsidP="00790B75">
      <w:pPr>
        <w:numPr>
          <w:ilvl w:val="0"/>
          <w:numId w:val="11"/>
        </w:numPr>
        <w:spacing w:after="0" w:line="240" w:lineRule="auto"/>
        <w:ind w:left="794" w:hanging="397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Se è un bambino di peso compreso tra 10 kg e meno di 20 kg, la dose massima che il suo bambino dovrà assumere è 2 mg per ogni kg di peso corporeo due volte al giorno.</w:t>
      </w:r>
    </w:p>
    <w:p w14:paraId="06196DAC" w14:textId="77777777" w:rsidR="005173E0" w:rsidRPr="00462889" w:rsidRDefault="005173E0" w:rsidP="005173E0">
      <w:pPr>
        <w:tabs>
          <w:tab w:val="left" w:pos="284"/>
        </w:tabs>
        <w:spacing w:after="0" w:line="240" w:lineRule="auto"/>
        <w:jc w:val="both"/>
        <w:rPr>
          <w:rFonts w:cs="Calibri"/>
          <w:sz w:val="24"/>
          <w:szCs w:val="24"/>
        </w:rPr>
      </w:pPr>
    </w:p>
    <w:p w14:paraId="1EE72CCB" w14:textId="27F32EF1" w:rsidR="005173E0" w:rsidRPr="00462889" w:rsidRDefault="005173E0" w:rsidP="002D2B9C">
      <w:pPr>
        <w:tabs>
          <w:tab w:val="left" w:pos="284"/>
        </w:tabs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sz w:val="24"/>
          <w:szCs w:val="24"/>
        </w:rPr>
        <w:t>Le compresse devono essere assunte intere con un bicchiere di liquido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indipendentemente dai pasti</w:t>
      </w:r>
      <w:r w:rsidRPr="00462889">
        <w:rPr>
          <w:rFonts w:cs="Calibri"/>
          <w:sz w:val="24"/>
          <w:szCs w:val="24"/>
        </w:rPr>
        <w:t xml:space="preserve">. Le compresse </w:t>
      </w:r>
      <w:r w:rsidRPr="00462889">
        <w:rPr>
          <w:sz w:val="24"/>
          <w:szCs w:val="24"/>
        </w:rPr>
        <w:t xml:space="preserve">rivestite con film </w:t>
      </w:r>
      <w:r w:rsidRPr="00462889">
        <w:rPr>
          <w:rFonts w:cs="Calibri"/>
          <w:sz w:val="24"/>
          <w:szCs w:val="24"/>
        </w:rPr>
        <w:t xml:space="preserve">da </w:t>
      </w:r>
      <w:r w:rsidRPr="00462889">
        <w:rPr>
          <w:sz w:val="24"/>
          <w:szCs w:val="24"/>
        </w:rPr>
        <w:t>50 mg e 100 mg sono fornite come compresse senza o con linea di incisione</w:t>
      </w:r>
      <w:r w:rsidRPr="00462889">
        <w:rPr>
          <w:rFonts w:cs="Calibri"/>
          <w:sz w:val="24"/>
          <w:szCs w:val="24"/>
        </w:rPr>
        <w:t xml:space="preserve"> con linea di frattura possono essere divise in due dosi uguali per favorire la scelta della posologia più adeguata. </w:t>
      </w:r>
    </w:p>
    <w:p w14:paraId="4404425F" w14:textId="77777777" w:rsidR="00F96473" w:rsidRPr="00462889" w:rsidRDefault="00F96473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72731059" w14:textId="46D80BE3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b/>
          <w:bCs/>
          <w:color w:val="000000"/>
          <w:sz w:val="24"/>
          <w:szCs w:val="24"/>
          <w:lang w:eastAsia="it-IT"/>
        </w:rPr>
        <w:t xml:space="preserve">3) COME FUNZIONA </w:t>
      </w:r>
      <w:r w:rsidR="004F211A" w:rsidRPr="00462889">
        <w:rPr>
          <w:rFonts w:cs="Calibri"/>
          <w:b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b/>
          <w:bCs/>
          <w:color w:val="000000"/>
          <w:sz w:val="24"/>
          <w:szCs w:val="24"/>
          <w:lang w:eastAsia="it-IT"/>
        </w:rPr>
        <w:t xml:space="preserve">? </w:t>
      </w:r>
    </w:p>
    <w:p w14:paraId="11484E27" w14:textId="77777777" w:rsidR="00DD703B" w:rsidRPr="00462889" w:rsidRDefault="004F211A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BB2AF8" w:rsidRPr="00462889">
        <w:rPr>
          <w:rFonts w:cs="Calibri"/>
          <w:bCs/>
          <w:color w:val="000000"/>
          <w:sz w:val="24"/>
          <w:szCs w:val="24"/>
          <w:lang w:eastAsia="it-IT"/>
        </w:rPr>
        <w:t xml:space="preserve">, il cui codice ATC è </w:t>
      </w:r>
      <w:r w:rsidR="005A33B1" w:rsidRPr="00462889">
        <w:rPr>
          <w:rFonts w:cs="Calibri"/>
          <w:sz w:val="24"/>
          <w:szCs w:val="24"/>
        </w:rPr>
        <w:t>N03AX23</w:t>
      </w:r>
      <w:r w:rsidR="00BB2AF8" w:rsidRPr="00462889">
        <w:rPr>
          <w:rFonts w:eastAsia="DejaVuSans" w:cs="Calibri"/>
          <w:sz w:val="24"/>
          <w:szCs w:val="24"/>
        </w:rPr>
        <w:t xml:space="preserve"> </w:t>
      </w:r>
      <w:r w:rsidR="00BB2AF8" w:rsidRPr="00462889">
        <w:rPr>
          <w:rFonts w:cs="Calibri"/>
          <w:color w:val="000000"/>
          <w:sz w:val="24"/>
          <w:szCs w:val="24"/>
          <w:lang w:eastAsia="it-IT"/>
        </w:rPr>
        <w:t xml:space="preserve">contiene il principio attivo </w:t>
      </w:r>
      <w:r w:rsidR="005A33B1" w:rsidRPr="00462889">
        <w:rPr>
          <w:rFonts w:cs="Calibri"/>
          <w:color w:val="000000"/>
          <w:sz w:val="24"/>
          <w:szCs w:val="24"/>
          <w:lang w:eastAsia="it-IT"/>
        </w:rPr>
        <w:t>brivaracetam</w:t>
      </w:r>
      <w:r w:rsidR="00F96473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BB2AF8" w:rsidRPr="00462889">
        <w:rPr>
          <w:rFonts w:eastAsia="DejaVuSans" w:cs="Calibri"/>
          <w:sz w:val="24"/>
          <w:szCs w:val="24"/>
        </w:rPr>
        <w:t xml:space="preserve">che </w:t>
      </w:r>
      <w:r w:rsidR="00BB2AF8" w:rsidRPr="00462889">
        <w:rPr>
          <w:rFonts w:cs="Calibri"/>
          <w:sz w:val="24"/>
          <w:szCs w:val="24"/>
        </w:rPr>
        <w:t xml:space="preserve">appartiene alla classe dei </w:t>
      </w:r>
      <w:r w:rsidR="00DD703B" w:rsidRPr="00462889">
        <w:rPr>
          <w:rFonts w:cs="Calibri"/>
          <w:sz w:val="24"/>
          <w:szCs w:val="24"/>
        </w:rPr>
        <w:t xml:space="preserve">medicinali chiamati "antiepilettici". </w:t>
      </w:r>
    </w:p>
    <w:p w14:paraId="1A64D5B1" w14:textId="78F8F735" w:rsidR="00BB2AF8" w:rsidRPr="00462889" w:rsidRDefault="00DD703B" w:rsidP="00DD703B">
      <w:pPr>
        <w:autoSpaceDE w:val="0"/>
        <w:autoSpaceDN w:val="0"/>
        <w:adjustRightInd w:val="0"/>
        <w:spacing w:after="0" w:line="240" w:lineRule="auto"/>
        <w:rPr>
          <w:rFonts w:cs="Calibri"/>
          <w:iCs/>
          <w:sz w:val="24"/>
          <w:szCs w:val="24"/>
        </w:rPr>
      </w:pPr>
      <w:r w:rsidRPr="00462889">
        <w:rPr>
          <w:rFonts w:cs="Calibri"/>
          <w:sz w:val="24"/>
          <w:szCs w:val="24"/>
        </w:rPr>
        <w:t>Questi medicinali sono utilizzati per trattare l’epilessia.</w:t>
      </w:r>
      <w:r w:rsidR="00BB2AF8" w:rsidRPr="00462889">
        <w:rPr>
          <w:rFonts w:cs="Calibri"/>
          <w:color w:val="000000"/>
          <w:sz w:val="24"/>
          <w:szCs w:val="24"/>
          <w:shd w:val="clear" w:color="auto" w:fill="FFFFFF"/>
        </w:rPr>
        <w:br/>
      </w:r>
    </w:p>
    <w:p w14:paraId="29669D1A" w14:textId="1BDF37A8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sz w:val="24"/>
          <w:szCs w:val="24"/>
          <w:lang w:eastAsia="it-IT"/>
        </w:rPr>
      </w:pPr>
      <w:r w:rsidRPr="00462889">
        <w:rPr>
          <w:rFonts w:cs="Calibri"/>
          <w:b/>
          <w:bCs/>
          <w:sz w:val="24"/>
          <w:szCs w:val="24"/>
          <w:lang w:eastAsia="it-IT"/>
        </w:rPr>
        <w:t xml:space="preserve">4) COME È STATO STUDIATO </w:t>
      </w:r>
      <w:r w:rsidR="004F211A" w:rsidRPr="00462889">
        <w:rPr>
          <w:rFonts w:cs="Calibri"/>
          <w:b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b/>
          <w:bCs/>
          <w:sz w:val="24"/>
          <w:szCs w:val="24"/>
          <w:lang w:eastAsia="it-IT"/>
        </w:rPr>
        <w:t xml:space="preserve">? </w:t>
      </w:r>
    </w:p>
    <w:p w14:paraId="6738D099" w14:textId="5CEECD32" w:rsidR="00F96473" w:rsidRPr="00462889" w:rsidRDefault="004F211A" w:rsidP="00F96473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F96473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F96473" w:rsidRPr="00462889">
        <w:rPr>
          <w:rFonts w:cs="Calibri"/>
          <w:sz w:val="24"/>
          <w:szCs w:val="24"/>
        </w:rPr>
        <w:t>è un medicinale generico</w:t>
      </w:r>
      <w:r w:rsidR="003C054E" w:rsidRPr="00462889">
        <w:rPr>
          <w:rFonts w:cs="Calibri"/>
          <w:sz w:val="24"/>
          <w:szCs w:val="24"/>
        </w:rPr>
        <w:t xml:space="preserve">. </w:t>
      </w:r>
      <w:r w:rsidR="00C56FA9" w:rsidRPr="00462889">
        <w:rPr>
          <w:rFonts w:cs="Calibri"/>
          <w:sz w:val="24"/>
          <w:szCs w:val="24"/>
        </w:rPr>
        <w:t xml:space="preserve">Poiché il profilo di sicurezza e l’efficacia del principio attivo di </w:t>
      </w: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C56FA9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C56FA9" w:rsidRPr="00462889">
        <w:rPr>
          <w:rFonts w:cs="Calibri"/>
          <w:sz w:val="24"/>
          <w:szCs w:val="24"/>
        </w:rPr>
        <w:t xml:space="preserve">è ben conosciuto in quanto il medicinale di riferimento è autorizzato </w:t>
      </w:r>
      <w:r w:rsidR="00FB4181" w:rsidRPr="00462889">
        <w:rPr>
          <w:rFonts w:cs="Calibri"/>
          <w:sz w:val="24"/>
          <w:szCs w:val="24"/>
        </w:rPr>
        <w:t xml:space="preserve">o è stato autorizzato </w:t>
      </w:r>
      <w:r w:rsidR="00C56FA9" w:rsidRPr="00462889">
        <w:rPr>
          <w:rFonts w:cs="Calibri"/>
          <w:sz w:val="24"/>
          <w:szCs w:val="24"/>
        </w:rPr>
        <w:t xml:space="preserve">da </w:t>
      </w:r>
      <w:r w:rsidR="00FB4181" w:rsidRPr="00462889">
        <w:rPr>
          <w:rFonts w:cs="Calibri"/>
          <w:sz w:val="24"/>
          <w:szCs w:val="24"/>
        </w:rPr>
        <w:t xml:space="preserve">almeno 8 </w:t>
      </w:r>
      <w:r w:rsidR="00C56FA9" w:rsidRPr="00462889">
        <w:rPr>
          <w:rFonts w:cs="Calibri"/>
          <w:sz w:val="24"/>
          <w:szCs w:val="24"/>
        </w:rPr>
        <w:t>anni</w:t>
      </w:r>
      <w:r w:rsidR="00F67DFC" w:rsidRPr="00462889">
        <w:rPr>
          <w:rFonts w:cs="Calibri"/>
          <w:sz w:val="24"/>
          <w:szCs w:val="24"/>
        </w:rPr>
        <w:t xml:space="preserve"> nell’Unione europea</w:t>
      </w:r>
      <w:r w:rsidR="00C56FA9" w:rsidRPr="00462889">
        <w:rPr>
          <w:rFonts w:cs="Calibri"/>
          <w:sz w:val="24"/>
          <w:szCs w:val="24"/>
        </w:rPr>
        <w:t xml:space="preserve">, </w:t>
      </w:r>
      <w:r w:rsidR="00577DAC" w:rsidRPr="00462889">
        <w:rPr>
          <w:rFonts w:cs="Calibri"/>
          <w:sz w:val="24"/>
          <w:szCs w:val="24"/>
        </w:rPr>
        <w:t xml:space="preserve">a supporto dell’efficacia e della sicurezza di </w:t>
      </w: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577DAC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28E5" w:rsidRPr="00462889">
        <w:rPr>
          <w:rFonts w:cs="Calibri"/>
          <w:sz w:val="24"/>
          <w:szCs w:val="24"/>
        </w:rPr>
        <w:t>sono state effettuate prove cliniche</w:t>
      </w:r>
      <w:r w:rsidR="00F96473" w:rsidRPr="00462889">
        <w:rPr>
          <w:rFonts w:cs="Calibri"/>
          <w:sz w:val="24"/>
          <w:szCs w:val="24"/>
        </w:rPr>
        <w:t xml:space="preserve"> </w:t>
      </w:r>
      <w:r w:rsidR="003C054E" w:rsidRPr="00462889">
        <w:rPr>
          <w:rFonts w:cs="Calibri"/>
          <w:sz w:val="24"/>
          <w:szCs w:val="24"/>
        </w:rPr>
        <w:t xml:space="preserve">di confronto con il medicinale di riferimento </w:t>
      </w:r>
      <w:r w:rsidR="00F96473" w:rsidRPr="00462889">
        <w:rPr>
          <w:rFonts w:cs="Calibri"/>
          <w:sz w:val="24"/>
          <w:szCs w:val="24"/>
        </w:rPr>
        <w:t>per determinare</w:t>
      </w:r>
      <w:r w:rsidR="00F96473" w:rsidRPr="00462889">
        <w:rPr>
          <w:rFonts w:cs="Calibri"/>
          <w:b/>
          <w:sz w:val="24"/>
          <w:szCs w:val="24"/>
        </w:rPr>
        <w:t xml:space="preserve"> </w:t>
      </w:r>
      <w:r w:rsidR="00F96473" w:rsidRPr="00462889">
        <w:rPr>
          <w:rFonts w:cs="Calibri"/>
          <w:sz w:val="24"/>
          <w:szCs w:val="24"/>
        </w:rPr>
        <w:t xml:space="preserve">la bioequivalenza rispetto al medicinale di riferimento </w:t>
      </w:r>
      <w:r w:rsidR="005173E0" w:rsidRPr="00462889">
        <w:rPr>
          <w:rFonts w:cs="Calibri"/>
          <w:sz w:val="24"/>
          <w:szCs w:val="24"/>
        </w:rPr>
        <w:t>Briviact (in Italia Nubivreo).</w:t>
      </w:r>
      <w:r w:rsidR="00F96473" w:rsidRPr="00462889">
        <w:rPr>
          <w:rFonts w:cs="Calibri"/>
          <w:sz w:val="24"/>
          <w:szCs w:val="24"/>
        </w:rPr>
        <w:t xml:space="preserve"> </w:t>
      </w:r>
      <w:r w:rsidR="00F96473" w:rsidRPr="00462889">
        <w:rPr>
          <w:rFonts w:cs="Calibri"/>
          <w:sz w:val="24"/>
          <w:szCs w:val="24"/>
        </w:rPr>
        <w:lastRenderedPageBreak/>
        <w:t xml:space="preserve">Due medicinali sono bioequivalenti quando producono gli stessi livelli di principio attivo nell’organismo. </w:t>
      </w:r>
    </w:p>
    <w:p w14:paraId="6598D762" w14:textId="77777777" w:rsidR="008C75F9" w:rsidRPr="00462889" w:rsidRDefault="008C75F9" w:rsidP="00F96473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A0298C6" w14:textId="77777777" w:rsidR="005173E0" w:rsidRPr="00462889" w:rsidRDefault="005173E0" w:rsidP="005173E0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Per i dosaggi da 10 mg, 25 mg, 50 mg e 75 mg è stata dimostrata l’equivalenza farmaceutica tramite studi comparativi di equivalenza farmaceutica in accordo alle linee guida applicabili</w:t>
      </w:r>
    </w:p>
    <w:p w14:paraId="28BBF160" w14:textId="77777777" w:rsidR="00FF50B2" w:rsidRPr="00462889" w:rsidRDefault="00FF50B2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4D27A7C5" w14:textId="54AD9202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b/>
          <w:bCs/>
          <w:sz w:val="24"/>
          <w:szCs w:val="24"/>
          <w:lang w:eastAsia="it-IT"/>
        </w:rPr>
        <w:t xml:space="preserve">5) QUAL È IL RAPPORTO BENEFICIO/RISCHIO DI </w:t>
      </w:r>
      <w:r w:rsidR="004F211A" w:rsidRPr="00462889">
        <w:rPr>
          <w:rFonts w:cs="Calibri"/>
          <w:b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b/>
          <w:sz w:val="24"/>
          <w:szCs w:val="24"/>
          <w:lang w:eastAsia="it-IT"/>
        </w:rPr>
        <w:t>?</w:t>
      </w:r>
      <w:r w:rsidRPr="00462889">
        <w:rPr>
          <w:rFonts w:cs="Calibri"/>
          <w:sz w:val="24"/>
          <w:szCs w:val="24"/>
          <w:lang w:eastAsia="it-IT"/>
        </w:rPr>
        <w:t xml:space="preserve"> </w:t>
      </w:r>
    </w:p>
    <w:p w14:paraId="39EDA816" w14:textId="741A3FC4" w:rsidR="00BB2AF8" w:rsidRPr="00462889" w:rsidRDefault="004F211A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7170D7" w:rsidRPr="00462889">
        <w:rPr>
          <w:rFonts w:cs="Calibri"/>
          <w:sz w:val="24"/>
          <w:szCs w:val="24"/>
        </w:rPr>
        <w:t xml:space="preserve"> </w:t>
      </w:r>
      <w:r w:rsidR="00BB2AF8" w:rsidRPr="00462889">
        <w:rPr>
          <w:rFonts w:cs="Calibri"/>
          <w:sz w:val="24"/>
          <w:szCs w:val="24"/>
          <w:lang w:eastAsia="it-IT"/>
        </w:rPr>
        <w:t xml:space="preserve">è un medicinale generico ed è bioequivalente al medicinale di riferimento; pertanto, i suoi benefici e rischi sono sovrapponibili a quelli del medicinale di riferimento. </w:t>
      </w:r>
    </w:p>
    <w:p w14:paraId="5CFB24E3" w14:textId="77777777" w:rsidR="00FF50B2" w:rsidRPr="00462889" w:rsidRDefault="00FF50B2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782F2A1F" w14:textId="17DDB9EB" w:rsidR="00BB2AF8" w:rsidRPr="00462889" w:rsidRDefault="00BB2AF8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b/>
          <w:bCs/>
          <w:sz w:val="24"/>
          <w:szCs w:val="24"/>
          <w:lang w:eastAsia="it-IT"/>
        </w:rPr>
        <w:t xml:space="preserve">6) PERCHE’ </w:t>
      </w:r>
      <w:r w:rsidR="004F211A" w:rsidRPr="00462889">
        <w:rPr>
          <w:rFonts w:cs="Calibri"/>
          <w:b/>
          <w:color w:val="000000"/>
          <w:sz w:val="24"/>
          <w:szCs w:val="24"/>
          <w:lang w:eastAsia="it-IT"/>
        </w:rPr>
        <w:t>Brivaracetam Pensa</w:t>
      </w:r>
      <w:r w:rsidR="007170D7" w:rsidRPr="00462889">
        <w:rPr>
          <w:rFonts w:cs="Calibri"/>
          <w:b/>
          <w:color w:val="000000"/>
          <w:sz w:val="24"/>
          <w:szCs w:val="24"/>
          <w:lang w:eastAsia="it-IT"/>
        </w:rPr>
        <w:t xml:space="preserve"> </w:t>
      </w:r>
      <w:r w:rsidR="00FF50B2" w:rsidRPr="00462889">
        <w:rPr>
          <w:rFonts w:cs="Calibri"/>
          <w:b/>
          <w:bCs/>
          <w:sz w:val="24"/>
          <w:szCs w:val="24"/>
          <w:lang w:eastAsia="it-IT"/>
        </w:rPr>
        <w:t>È</w:t>
      </w:r>
      <w:r w:rsidR="00FF50B2" w:rsidRPr="00462889" w:rsidDel="00FF50B2">
        <w:rPr>
          <w:rFonts w:cs="Calibri"/>
          <w:b/>
          <w:bCs/>
          <w:sz w:val="24"/>
          <w:szCs w:val="24"/>
          <w:lang w:eastAsia="it-IT"/>
        </w:rPr>
        <w:t xml:space="preserve"> </w:t>
      </w:r>
      <w:r w:rsidRPr="00462889">
        <w:rPr>
          <w:rFonts w:cs="Calibri"/>
          <w:b/>
          <w:bCs/>
          <w:sz w:val="24"/>
          <w:szCs w:val="24"/>
          <w:lang w:eastAsia="it-IT"/>
        </w:rPr>
        <w:t xml:space="preserve">STATO APPROVATO? </w:t>
      </w:r>
    </w:p>
    <w:p w14:paraId="446FDFE5" w14:textId="3F468E11" w:rsidR="00BB2AF8" w:rsidRPr="00462889" w:rsidRDefault="000C1389" w:rsidP="00BB2AF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sz w:val="24"/>
          <w:szCs w:val="24"/>
          <w:lang w:eastAsia="it-IT"/>
        </w:rPr>
        <w:t>A seguito dell’istruttoria condotta d</w:t>
      </w:r>
      <w:r w:rsidR="00330DFA" w:rsidRPr="00462889">
        <w:rPr>
          <w:rFonts w:cs="Calibri"/>
          <w:sz w:val="24"/>
          <w:szCs w:val="24"/>
          <w:lang w:eastAsia="it-IT"/>
        </w:rPr>
        <w:t>a</w:t>
      </w:r>
      <w:r w:rsidRPr="00462889">
        <w:rPr>
          <w:rFonts w:cs="Calibri"/>
          <w:sz w:val="24"/>
          <w:szCs w:val="24"/>
          <w:lang w:eastAsia="it-IT"/>
        </w:rPr>
        <w:t>ll’AIFA</w:t>
      </w:r>
      <w:r w:rsidR="00BB2AF8" w:rsidRPr="00462889">
        <w:rPr>
          <w:rFonts w:cs="Calibri"/>
          <w:sz w:val="24"/>
          <w:szCs w:val="24"/>
          <w:lang w:eastAsia="it-IT"/>
        </w:rPr>
        <w:t xml:space="preserve">, conformemente ai requisiti della normativa vigente, come nel caso del medicinale di riferimento, i benefici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BB2AF8" w:rsidRPr="00462889">
        <w:rPr>
          <w:rFonts w:cs="Calibri"/>
          <w:sz w:val="24"/>
          <w:szCs w:val="24"/>
          <w:lang w:eastAsia="it-IT"/>
        </w:rPr>
        <w:t xml:space="preserve"> sono superiori ai rischi individuati. L</w:t>
      </w:r>
      <w:r w:rsidR="00E406EC" w:rsidRPr="00462889">
        <w:rPr>
          <w:rFonts w:cs="Calibri"/>
          <w:sz w:val="24"/>
          <w:szCs w:val="24"/>
          <w:lang w:eastAsia="it-IT"/>
        </w:rPr>
        <w:t>’</w:t>
      </w:r>
      <w:r w:rsidR="00F61CF9" w:rsidRPr="00462889">
        <w:rPr>
          <w:rFonts w:cs="Calibri"/>
          <w:sz w:val="24"/>
          <w:szCs w:val="24"/>
          <w:lang w:eastAsia="it-IT"/>
        </w:rPr>
        <w:t>AIFA</w:t>
      </w:r>
      <w:r w:rsidR="00353838" w:rsidRPr="00462889">
        <w:rPr>
          <w:rFonts w:cs="Calibri"/>
          <w:sz w:val="24"/>
          <w:szCs w:val="24"/>
          <w:lang w:eastAsia="it-IT"/>
        </w:rPr>
        <w:t xml:space="preserve"> </w:t>
      </w:r>
      <w:r w:rsidR="00BB2AF8" w:rsidRPr="00462889">
        <w:rPr>
          <w:rFonts w:cs="Calibri"/>
          <w:sz w:val="24"/>
          <w:szCs w:val="24"/>
          <w:lang w:eastAsia="it-IT"/>
        </w:rPr>
        <w:t>ha, inoltre, definito le modalità di prescrizione di cui al punto 2) di questo Riassunto e la classe di rimborsabilità del medicinale</w:t>
      </w:r>
      <w:r w:rsidR="007170D7" w:rsidRPr="00462889">
        <w:rPr>
          <w:rFonts w:cs="Calibri"/>
          <w:sz w:val="24"/>
          <w:szCs w:val="24"/>
          <w:lang w:eastAsia="it-IT"/>
        </w:rPr>
        <w:t xml:space="preserve"> </w:t>
      </w:r>
      <w:r w:rsidR="00F76F77" w:rsidRPr="00462889">
        <w:rPr>
          <w:rFonts w:cs="Calibri"/>
          <w:sz w:val="24"/>
          <w:szCs w:val="24"/>
          <w:lang w:eastAsia="it-IT"/>
        </w:rPr>
        <w:t>(</w:t>
      </w:r>
      <w:r w:rsidR="0098470E" w:rsidRPr="00462889">
        <w:rPr>
          <w:rFonts w:cs="Calibri"/>
          <w:sz w:val="24"/>
          <w:szCs w:val="24"/>
          <w:lang w:eastAsia="it-IT"/>
        </w:rPr>
        <w:t>classificazione provvisoria Cnn</w:t>
      </w:r>
      <w:r w:rsidR="00E406EC" w:rsidRPr="00462889">
        <w:rPr>
          <w:rFonts w:cs="Calibri"/>
          <w:sz w:val="24"/>
          <w:szCs w:val="24"/>
          <w:lang w:eastAsia="it-IT"/>
        </w:rPr>
        <w:t>)</w:t>
      </w:r>
      <w:r w:rsidR="0098470E" w:rsidRPr="00462889">
        <w:rPr>
          <w:rFonts w:cs="Calibri"/>
          <w:sz w:val="24"/>
          <w:szCs w:val="24"/>
          <w:lang w:eastAsia="it-IT"/>
        </w:rPr>
        <w:t xml:space="preserve">. </w:t>
      </w:r>
    </w:p>
    <w:p w14:paraId="12ED3F1E" w14:textId="77777777" w:rsidR="004241AC" w:rsidRPr="00462889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sz w:val="24"/>
          <w:szCs w:val="24"/>
          <w:lang w:eastAsia="it-IT"/>
        </w:rPr>
      </w:pPr>
    </w:p>
    <w:p w14:paraId="329B1D18" w14:textId="750674A4" w:rsidR="004241AC" w:rsidRPr="00462889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b/>
          <w:bCs/>
          <w:sz w:val="24"/>
          <w:szCs w:val="24"/>
          <w:lang w:eastAsia="it-IT"/>
        </w:rPr>
        <w:t xml:space="preserve">7) QUALI MISURE SONO STATE PRESE PER ASSICURARE LA SICUREZZA E L’EFFICACIA NELL’USO DI </w:t>
      </w:r>
      <w:r w:rsidR="004F211A" w:rsidRPr="00462889">
        <w:rPr>
          <w:rFonts w:cs="Calibri"/>
          <w:b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b/>
          <w:bCs/>
          <w:color w:val="000000"/>
          <w:sz w:val="24"/>
          <w:szCs w:val="24"/>
          <w:lang w:eastAsia="it-IT"/>
        </w:rPr>
        <w:t>?</w:t>
      </w:r>
    </w:p>
    <w:p w14:paraId="03B7E83B" w14:textId="3DAE8186" w:rsidR="004241AC" w:rsidRPr="00462889" w:rsidRDefault="00F85989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sz w:val="24"/>
          <w:szCs w:val="24"/>
          <w:lang w:eastAsia="it-IT"/>
        </w:rPr>
        <w:t xml:space="preserve">Il titolare </w:t>
      </w:r>
      <w:r w:rsidR="004241AC" w:rsidRPr="00462889">
        <w:rPr>
          <w:rFonts w:cs="Calibri"/>
          <w:sz w:val="24"/>
          <w:szCs w:val="24"/>
          <w:lang w:eastAsia="it-IT"/>
        </w:rPr>
        <w:t xml:space="preserve">dell’autorizzazione all’immissione in commercio (AIC) ha presentato un Piano di Gestione del Rischio, in accordo con quanto richiesto dalla Direttiva 2001/83/CE e successivi emendamenti, descrivendo le attività di Farmacovigilanza e gli interventi finalizzati ad identificare, caratterizzare, prevenire o minimizzare i rischi correlati a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4241AC" w:rsidRPr="00462889">
        <w:rPr>
          <w:rFonts w:cs="Calibri"/>
          <w:sz w:val="24"/>
          <w:szCs w:val="24"/>
          <w:lang w:eastAsia="it-IT"/>
        </w:rPr>
        <w:t>.</w:t>
      </w:r>
    </w:p>
    <w:p w14:paraId="4154CFFD" w14:textId="77777777" w:rsidR="00F1246A" w:rsidRPr="00462889" w:rsidRDefault="00F1246A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3E952E45" w14:textId="441AA7B9" w:rsidR="004241AC" w:rsidRPr="00462889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b/>
          <w:bCs/>
          <w:sz w:val="24"/>
          <w:szCs w:val="24"/>
          <w:lang w:eastAsia="it-IT"/>
        </w:rPr>
        <w:t xml:space="preserve">8) ALTRE INFORMAZIONI RELATIVE A </w:t>
      </w:r>
      <w:r w:rsidR="004F211A" w:rsidRPr="00462889">
        <w:rPr>
          <w:rFonts w:cs="Calibri"/>
          <w:b/>
          <w:color w:val="000000"/>
          <w:sz w:val="24"/>
          <w:szCs w:val="24"/>
          <w:lang w:eastAsia="it-IT"/>
        </w:rPr>
        <w:t>Brivaracetam Pensa</w:t>
      </w:r>
    </w:p>
    <w:p w14:paraId="7C1CF523" w14:textId="18837DD9" w:rsidR="004241AC" w:rsidRPr="00462889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Cs/>
          <w:sz w:val="24"/>
          <w:szCs w:val="24"/>
          <w:lang w:eastAsia="it-IT"/>
        </w:rPr>
      </w:pPr>
      <w:r w:rsidRPr="00462889">
        <w:rPr>
          <w:rFonts w:cs="Calibri"/>
          <w:bCs/>
          <w:iCs/>
          <w:sz w:val="24"/>
          <w:szCs w:val="24"/>
          <w:lang w:eastAsia="it-IT"/>
        </w:rPr>
        <w:t xml:space="preserve">Il </w:t>
      </w:r>
      <w:r w:rsidR="004A4C1F" w:rsidRPr="00DE3875">
        <w:rPr>
          <w:rFonts w:cs="Calibri"/>
          <w:b/>
          <w:bCs/>
          <w:iCs/>
          <w:sz w:val="24"/>
          <w:szCs w:val="24"/>
          <w:lang w:eastAsia="it-IT"/>
        </w:rPr>
        <w:t>3 aprile 2026</w:t>
      </w:r>
      <w:r w:rsidR="004A4C1F" w:rsidRPr="00462889">
        <w:rPr>
          <w:rFonts w:cs="Calibri"/>
          <w:bCs/>
          <w:iCs/>
          <w:sz w:val="24"/>
          <w:szCs w:val="24"/>
          <w:lang w:eastAsia="it-IT"/>
        </w:rPr>
        <w:t xml:space="preserve"> </w:t>
      </w:r>
      <w:r w:rsidRPr="00462889">
        <w:rPr>
          <w:rFonts w:cs="Calibri"/>
          <w:bCs/>
          <w:iCs/>
          <w:sz w:val="24"/>
          <w:szCs w:val="24"/>
          <w:lang w:eastAsia="it-IT"/>
        </w:rPr>
        <w:t xml:space="preserve">l’AIFA ha rilasciato l’autorizzazione all’immissione in commercio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bCs/>
          <w:sz w:val="24"/>
          <w:szCs w:val="24"/>
          <w:lang w:eastAsia="it-IT"/>
        </w:rPr>
        <w:t xml:space="preserve">. </w:t>
      </w:r>
    </w:p>
    <w:p w14:paraId="7DF54B61" w14:textId="77777777" w:rsidR="004E5A39" w:rsidRPr="00DE3875" w:rsidRDefault="004E5A39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  <w:lang w:eastAsia="it-IT"/>
        </w:rPr>
      </w:pPr>
    </w:p>
    <w:p w14:paraId="4659B842" w14:textId="77777777" w:rsidR="004E5A39" w:rsidRPr="00462889" w:rsidRDefault="004E5A39" w:rsidP="004E5A3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sz w:val="24"/>
          <w:szCs w:val="24"/>
          <w:lang w:eastAsia="it-IT"/>
        </w:rPr>
        <w:t xml:space="preserve">La Relazione Pubblica di Valutazione completa segue questo Riassunto. </w:t>
      </w:r>
    </w:p>
    <w:p w14:paraId="7AFE84BB" w14:textId="42AEAD64" w:rsidR="004241AC" w:rsidRPr="00462889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sz w:val="24"/>
          <w:szCs w:val="24"/>
          <w:lang w:eastAsia="it-IT"/>
        </w:rPr>
        <w:t xml:space="preserve">Per maggiori informazioni riguardo il trattamento con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7170D7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  <w:lang w:eastAsia="it-IT"/>
        </w:rPr>
        <w:t>si può leggere il foglio illustrativo</w:t>
      </w:r>
      <w:r w:rsidR="00FF50B2" w:rsidRPr="00462889">
        <w:rPr>
          <w:rFonts w:cs="Calibri"/>
          <w:sz w:val="24"/>
          <w:szCs w:val="24"/>
          <w:lang w:eastAsia="it-IT"/>
        </w:rPr>
        <w:t>(https://medicinali.aifa.gov.it</w:t>
      </w:r>
      <w:r w:rsidR="00983038" w:rsidRPr="00462889">
        <w:rPr>
          <w:rFonts w:cs="Calibri"/>
          <w:sz w:val="24"/>
          <w:szCs w:val="24"/>
          <w:lang w:eastAsia="it-IT"/>
        </w:rPr>
        <w:t>)</w:t>
      </w:r>
      <w:r w:rsidR="00FF50B2" w:rsidRPr="00462889">
        <w:rPr>
          <w:rFonts w:cs="Calibri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  <w:lang w:eastAsia="it-IT"/>
        </w:rPr>
        <w:t xml:space="preserve">o contattare il medico o </w:t>
      </w:r>
      <w:r w:rsidR="009B03DB" w:rsidRPr="00462889">
        <w:rPr>
          <w:rFonts w:cs="Calibri"/>
          <w:sz w:val="24"/>
          <w:szCs w:val="24"/>
          <w:lang w:eastAsia="it-IT"/>
        </w:rPr>
        <w:t xml:space="preserve">il </w:t>
      </w:r>
      <w:r w:rsidRPr="00462889">
        <w:rPr>
          <w:rFonts w:cs="Calibri"/>
          <w:sz w:val="24"/>
          <w:szCs w:val="24"/>
          <w:lang w:eastAsia="it-IT"/>
        </w:rPr>
        <w:t xml:space="preserve">farmacista. </w:t>
      </w:r>
    </w:p>
    <w:p w14:paraId="1136E216" w14:textId="77777777" w:rsidR="004241AC" w:rsidRPr="00462889" w:rsidRDefault="004241AC" w:rsidP="004241AC">
      <w:pPr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</w:p>
    <w:p w14:paraId="018C2C0E" w14:textId="62285E4E" w:rsidR="004241AC" w:rsidRPr="00462889" w:rsidRDefault="004241AC" w:rsidP="004241AC">
      <w:pPr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sz w:val="24"/>
          <w:szCs w:val="24"/>
          <w:lang w:eastAsia="it-IT"/>
        </w:rPr>
        <w:t xml:space="preserve">Questo riassunto è stato redatto in </w:t>
      </w:r>
      <w:r w:rsidR="00B1186F" w:rsidRPr="00462889">
        <w:rPr>
          <w:rFonts w:cs="Calibri"/>
          <w:sz w:val="24"/>
          <w:szCs w:val="24"/>
          <w:lang w:eastAsia="it-IT"/>
        </w:rPr>
        <w:t xml:space="preserve">data </w:t>
      </w:r>
      <w:r w:rsidR="00524B88" w:rsidRPr="00462889">
        <w:rPr>
          <w:rFonts w:cs="Calibri"/>
          <w:sz w:val="24"/>
          <w:szCs w:val="24"/>
          <w:lang w:eastAsia="it-IT"/>
        </w:rPr>
        <w:t>1</w:t>
      </w:r>
      <w:r w:rsidR="001B50AB">
        <w:rPr>
          <w:rFonts w:cs="Calibri"/>
          <w:sz w:val="24"/>
          <w:szCs w:val="24"/>
          <w:lang w:eastAsia="it-IT"/>
        </w:rPr>
        <w:t>5</w:t>
      </w:r>
      <w:r w:rsidR="00524B88" w:rsidRPr="00462889">
        <w:rPr>
          <w:rFonts w:cs="Calibri"/>
          <w:sz w:val="24"/>
          <w:szCs w:val="24"/>
          <w:lang w:eastAsia="it-IT"/>
        </w:rPr>
        <w:t>/05/2026</w:t>
      </w:r>
      <w:r w:rsidR="00790B75">
        <w:rPr>
          <w:rFonts w:cs="Calibri"/>
          <w:sz w:val="24"/>
          <w:szCs w:val="24"/>
          <w:lang w:eastAsia="it-IT"/>
        </w:rPr>
        <w:t>.</w:t>
      </w:r>
    </w:p>
    <w:p w14:paraId="7982C231" w14:textId="77777777" w:rsidR="004E5A39" w:rsidRPr="00462889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860B8FB" w14:textId="77777777" w:rsidR="007170D7" w:rsidRPr="00462889" w:rsidRDefault="007170D7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1A538D9" w14:textId="77777777" w:rsidR="007170D7" w:rsidRPr="00462889" w:rsidRDefault="007170D7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A829121" w14:textId="77777777" w:rsidR="007170D7" w:rsidRPr="00462889" w:rsidRDefault="007170D7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E0696F2" w14:textId="77777777" w:rsidR="00747DF3" w:rsidRPr="00462889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DD9BAB3" w14:textId="77777777" w:rsidR="00747DF3" w:rsidRPr="00462889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4DC375F" w14:textId="77777777" w:rsidR="00747DF3" w:rsidRPr="00462889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F452940" w14:textId="77777777" w:rsidR="00747DF3" w:rsidRPr="00462889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B4C721D" w14:textId="77777777" w:rsidR="00747DF3" w:rsidRPr="00462889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EC291BC" w14:textId="77777777" w:rsidR="00747DF3" w:rsidRPr="00462889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195DB2EA" w14:textId="77777777" w:rsidR="00747DF3" w:rsidRPr="00462889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AA577C6" w14:textId="77777777" w:rsidR="00747DF3" w:rsidRPr="00462889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78F0CCAE" w14:textId="77777777" w:rsidR="00747DF3" w:rsidRPr="00462889" w:rsidRDefault="00747DF3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8E922AD" w14:textId="77777777" w:rsidR="00441071" w:rsidRPr="00462889" w:rsidRDefault="00441071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32E41D3E" w14:textId="77777777" w:rsidR="00441071" w:rsidRDefault="00441071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CD4C8C7" w14:textId="77777777" w:rsidR="00482F49" w:rsidRPr="00462889" w:rsidRDefault="00482F4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4462112" w14:textId="4BE7D0E2" w:rsidR="004E5A39" w:rsidRPr="00462889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lastRenderedPageBreak/>
        <w:t>RELAZIONE PUBBLICA DI VALUTAZIONE</w:t>
      </w:r>
    </w:p>
    <w:p w14:paraId="716F925E" w14:textId="77777777" w:rsidR="004E5A39" w:rsidRPr="00462889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604F1064" w14:textId="77777777" w:rsidR="004E5A39" w:rsidRPr="00462889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434AA10" w14:textId="77777777" w:rsidR="004E5A39" w:rsidRPr="00462889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036D0A92" w14:textId="77777777" w:rsidR="004E5A39" w:rsidRPr="00462889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093B45F4" w14:textId="77777777" w:rsidR="004E5A39" w:rsidRPr="00462889" w:rsidRDefault="004E5A39" w:rsidP="004E5A39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INDICE</w:t>
      </w:r>
    </w:p>
    <w:p w14:paraId="41F75CFC" w14:textId="77777777" w:rsidR="004E5A39" w:rsidRPr="00462889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9B703FE" w14:textId="77777777" w:rsidR="004E5A39" w:rsidRPr="00462889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D20F5F4" w14:textId="77777777" w:rsidR="004E5A39" w:rsidRPr="00462889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4883A7A" w14:textId="77777777" w:rsidR="004E5A39" w:rsidRPr="00462889" w:rsidRDefault="004E5A39" w:rsidP="004E5A39">
      <w:pPr>
        <w:pStyle w:val="Paragrafoelenco"/>
        <w:numPr>
          <w:ilvl w:val="0"/>
          <w:numId w:val="1"/>
        </w:numPr>
        <w:spacing w:after="0" w:line="240" w:lineRule="auto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INTRODUZIONE</w:t>
      </w:r>
    </w:p>
    <w:p w14:paraId="393833EF" w14:textId="77777777" w:rsidR="004E5A39" w:rsidRPr="00462889" w:rsidRDefault="004E5A39" w:rsidP="004E5A39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C2D3AF4" w14:textId="77777777" w:rsidR="004E5A39" w:rsidRPr="00462889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ASPETTI DI QUALITA’</w:t>
      </w:r>
    </w:p>
    <w:p w14:paraId="2E3B8865" w14:textId="77777777" w:rsidR="004E5A39" w:rsidRPr="00462889" w:rsidRDefault="004E5A39" w:rsidP="004E5A39">
      <w:pPr>
        <w:pStyle w:val="Paragrafoelenco"/>
        <w:rPr>
          <w:rFonts w:cs="Calibri"/>
          <w:b/>
          <w:sz w:val="24"/>
          <w:szCs w:val="24"/>
        </w:rPr>
      </w:pPr>
    </w:p>
    <w:p w14:paraId="3CEC57CB" w14:textId="77777777" w:rsidR="004E5A39" w:rsidRPr="00462889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ASPETTI NON CLINICI</w:t>
      </w:r>
    </w:p>
    <w:p w14:paraId="51F0DD10" w14:textId="77777777" w:rsidR="004E5A39" w:rsidRPr="00462889" w:rsidRDefault="004E5A39" w:rsidP="004E5A39">
      <w:pPr>
        <w:pStyle w:val="Paragrafoelenco"/>
        <w:rPr>
          <w:rFonts w:cs="Calibri"/>
          <w:b/>
          <w:sz w:val="24"/>
          <w:szCs w:val="24"/>
        </w:rPr>
      </w:pPr>
    </w:p>
    <w:p w14:paraId="205D923F" w14:textId="77777777" w:rsidR="004E5A39" w:rsidRPr="00462889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ASPETTI CLINICI</w:t>
      </w:r>
    </w:p>
    <w:p w14:paraId="40C02FC9" w14:textId="77777777" w:rsidR="004E5A39" w:rsidRPr="00462889" w:rsidRDefault="004E5A39" w:rsidP="004E5A39">
      <w:pPr>
        <w:pStyle w:val="Paragrafoelenco"/>
        <w:rPr>
          <w:rFonts w:cs="Calibri"/>
          <w:b/>
          <w:sz w:val="24"/>
          <w:szCs w:val="24"/>
        </w:rPr>
      </w:pPr>
    </w:p>
    <w:p w14:paraId="27F61500" w14:textId="77777777" w:rsidR="004E5A39" w:rsidRPr="00462889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CONSULTAZIONE SUL FOGLIO ILLUSTRATIVO</w:t>
      </w:r>
    </w:p>
    <w:p w14:paraId="269078D1" w14:textId="77777777" w:rsidR="004E5A39" w:rsidRPr="00462889" w:rsidRDefault="004E5A39" w:rsidP="004E5A39">
      <w:pPr>
        <w:pStyle w:val="Paragrafoelenco"/>
        <w:spacing w:after="0" w:line="240" w:lineRule="auto"/>
        <w:ind w:left="1080"/>
        <w:jc w:val="both"/>
        <w:rPr>
          <w:rFonts w:cs="Calibri"/>
          <w:b/>
          <w:sz w:val="24"/>
          <w:szCs w:val="24"/>
        </w:rPr>
      </w:pPr>
    </w:p>
    <w:p w14:paraId="0F77BF46" w14:textId="77777777" w:rsidR="004E5A39" w:rsidRPr="00462889" w:rsidRDefault="004E5A39" w:rsidP="004E5A39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CONCLUSIONI, VALUTAZIONE DEL RAPPORTO BENEFICIO/RISCHIO E RACCOMANDAZIONI</w:t>
      </w:r>
    </w:p>
    <w:p w14:paraId="7FF18FA2" w14:textId="77777777" w:rsidR="004E5A39" w:rsidRPr="00462889" w:rsidRDefault="004E5A39" w:rsidP="004E5A39">
      <w:pPr>
        <w:rPr>
          <w:rFonts w:cs="Calibri"/>
          <w:sz w:val="24"/>
          <w:szCs w:val="24"/>
        </w:rPr>
      </w:pPr>
    </w:p>
    <w:p w14:paraId="71202452" w14:textId="77777777" w:rsidR="004E5A39" w:rsidRPr="00462889" w:rsidRDefault="004E5A39" w:rsidP="004E5A39">
      <w:pPr>
        <w:rPr>
          <w:rFonts w:cs="Calibri"/>
          <w:sz w:val="24"/>
          <w:szCs w:val="24"/>
        </w:rPr>
      </w:pPr>
    </w:p>
    <w:p w14:paraId="791E6256" w14:textId="77777777" w:rsidR="004E5A39" w:rsidRPr="00462889" w:rsidRDefault="004E5A39" w:rsidP="004E5A39">
      <w:pPr>
        <w:rPr>
          <w:rFonts w:cs="Calibri"/>
          <w:sz w:val="24"/>
          <w:szCs w:val="24"/>
        </w:rPr>
      </w:pPr>
    </w:p>
    <w:p w14:paraId="1DAF6386" w14:textId="77777777" w:rsidR="00CC52A3" w:rsidRPr="00462889" w:rsidRDefault="00CC52A3" w:rsidP="004E5A39">
      <w:pPr>
        <w:rPr>
          <w:rFonts w:cs="Calibri"/>
          <w:sz w:val="24"/>
          <w:szCs w:val="24"/>
        </w:rPr>
      </w:pPr>
    </w:p>
    <w:p w14:paraId="6C89BCE8" w14:textId="77777777" w:rsidR="0099120C" w:rsidRPr="00462889" w:rsidRDefault="0099120C" w:rsidP="004E5A39">
      <w:pPr>
        <w:rPr>
          <w:rFonts w:cs="Calibri"/>
          <w:sz w:val="24"/>
          <w:szCs w:val="24"/>
        </w:rPr>
      </w:pPr>
    </w:p>
    <w:p w14:paraId="7B20F714" w14:textId="77777777" w:rsidR="0099120C" w:rsidRPr="00462889" w:rsidRDefault="0099120C" w:rsidP="004E5A39">
      <w:pPr>
        <w:rPr>
          <w:rFonts w:cs="Calibri"/>
          <w:sz w:val="24"/>
          <w:szCs w:val="24"/>
        </w:rPr>
      </w:pPr>
    </w:p>
    <w:p w14:paraId="3AB3C290" w14:textId="77777777" w:rsidR="008B214E" w:rsidRDefault="008B214E" w:rsidP="004E5A39">
      <w:pPr>
        <w:rPr>
          <w:rFonts w:cs="Calibri"/>
          <w:sz w:val="24"/>
          <w:szCs w:val="24"/>
        </w:rPr>
      </w:pPr>
    </w:p>
    <w:p w14:paraId="386CC8AF" w14:textId="77777777" w:rsidR="001B50AB" w:rsidRPr="00462889" w:rsidRDefault="001B50AB" w:rsidP="004E5A39">
      <w:pPr>
        <w:rPr>
          <w:rFonts w:cs="Calibri"/>
          <w:sz w:val="24"/>
          <w:szCs w:val="24"/>
        </w:rPr>
      </w:pPr>
    </w:p>
    <w:p w14:paraId="1D3BD160" w14:textId="77777777" w:rsidR="0099120C" w:rsidRDefault="0099120C" w:rsidP="004E5A39">
      <w:pPr>
        <w:rPr>
          <w:rFonts w:cs="Calibri"/>
          <w:sz w:val="24"/>
          <w:szCs w:val="24"/>
        </w:rPr>
      </w:pPr>
    </w:p>
    <w:p w14:paraId="2F602DFB" w14:textId="77777777" w:rsidR="001B50AB" w:rsidRDefault="001B50AB" w:rsidP="004E5A39">
      <w:pPr>
        <w:rPr>
          <w:rFonts w:cs="Calibri"/>
          <w:sz w:val="24"/>
          <w:szCs w:val="24"/>
        </w:rPr>
      </w:pPr>
    </w:p>
    <w:p w14:paraId="40B808A1" w14:textId="77777777" w:rsidR="001B50AB" w:rsidRDefault="001B50AB" w:rsidP="004E5A39">
      <w:pPr>
        <w:rPr>
          <w:rFonts w:cs="Calibri"/>
          <w:sz w:val="24"/>
          <w:szCs w:val="24"/>
        </w:rPr>
      </w:pPr>
    </w:p>
    <w:p w14:paraId="18EE1A81" w14:textId="77777777" w:rsidR="001B50AB" w:rsidRDefault="001B50AB" w:rsidP="004E5A39">
      <w:pPr>
        <w:rPr>
          <w:rFonts w:cs="Calibri"/>
          <w:sz w:val="24"/>
          <w:szCs w:val="24"/>
        </w:rPr>
      </w:pPr>
    </w:p>
    <w:p w14:paraId="7A2520DC" w14:textId="77777777" w:rsidR="001B50AB" w:rsidRDefault="001B50AB" w:rsidP="004E5A39">
      <w:pPr>
        <w:rPr>
          <w:rFonts w:cs="Calibri"/>
          <w:sz w:val="24"/>
          <w:szCs w:val="24"/>
        </w:rPr>
      </w:pPr>
    </w:p>
    <w:p w14:paraId="7B7DB660" w14:textId="77777777" w:rsidR="001B50AB" w:rsidRDefault="001B50AB" w:rsidP="004E5A39">
      <w:pPr>
        <w:rPr>
          <w:rFonts w:cs="Calibri"/>
          <w:sz w:val="24"/>
          <w:szCs w:val="24"/>
        </w:rPr>
      </w:pPr>
    </w:p>
    <w:p w14:paraId="13A42F91" w14:textId="77777777" w:rsidR="001B50AB" w:rsidRPr="00462889" w:rsidRDefault="001B50AB" w:rsidP="004E5A39">
      <w:pPr>
        <w:rPr>
          <w:rFonts w:cs="Calibri"/>
          <w:sz w:val="24"/>
          <w:szCs w:val="24"/>
        </w:rPr>
      </w:pPr>
    </w:p>
    <w:p w14:paraId="4E698481" w14:textId="77777777" w:rsidR="004E5A39" w:rsidRPr="00462889" w:rsidRDefault="004E5A39" w:rsidP="00EF6711">
      <w:pPr>
        <w:pStyle w:val="Paragrafoelenco"/>
        <w:numPr>
          <w:ilvl w:val="0"/>
          <w:numId w:val="2"/>
        </w:numPr>
        <w:spacing w:after="0" w:line="240" w:lineRule="auto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lastRenderedPageBreak/>
        <w:t>INTRODUZIONE</w:t>
      </w:r>
    </w:p>
    <w:p w14:paraId="410D2EC4" w14:textId="3075E389" w:rsidR="004E5A39" w:rsidRPr="00DE3875" w:rsidRDefault="004E5A39" w:rsidP="00EF671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sz w:val="24"/>
          <w:szCs w:val="24"/>
        </w:rPr>
        <w:t>Sulla base dei dati di qualità, sicurezza ed efficacia, l’AIFA ha rilasciato a</w:t>
      </w:r>
      <w:r w:rsidR="002D7BB9" w:rsidRPr="00462889">
        <w:t xml:space="preserve"> </w:t>
      </w:r>
      <w:r w:rsidR="002D7BB9" w:rsidRPr="00462889">
        <w:rPr>
          <w:rFonts w:cs="Calibri"/>
          <w:sz w:val="24"/>
          <w:szCs w:val="24"/>
        </w:rPr>
        <w:t>Towa Pharmaceutical S.p.A.</w:t>
      </w:r>
      <w:r w:rsidR="00B1186F" w:rsidRPr="00462889">
        <w:rPr>
          <w:rFonts w:cs="Calibri"/>
          <w:sz w:val="24"/>
          <w:szCs w:val="24"/>
        </w:rPr>
        <w:t xml:space="preserve"> </w:t>
      </w:r>
      <w:r w:rsidRPr="00462889">
        <w:rPr>
          <w:rFonts w:cs="Calibri"/>
          <w:sz w:val="24"/>
          <w:szCs w:val="24"/>
        </w:rPr>
        <w:t xml:space="preserve">l’autorizzazione all’immissione in commercio (AIC) per il medicinale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7170D7" w:rsidRPr="00462889">
        <w:rPr>
          <w:rFonts w:cs="Calibri"/>
          <w:bCs/>
          <w:iCs/>
          <w:sz w:val="24"/>
          <w:szCs w:val="24"/>
          <w:lang w:eastAsia="it-IT"/>
        </w:rPr>
        <w:t xml:space="preserve"> </w:t>
      </w:r>
      <w:r w:rsidRPr="00462889">
        <w:rPr>
          <w:rFonts w:cs="Calibri"/>
          <w:bCs/>
          <w:iCs/>
          <w:sz w:val="24"/>
          <w:szCs w:val="24"/>
          <w:lang w:eastAsia="it-IT"/>
        </w:rPr>
        <w:t xml:space="preserve">il </w:t>
      </w:r>
      <w:r w:rsidR="002D7BB9" w:rsidRPr="00DE3875">
        <w:rPr>
          <w:rFonts w:cs="Calibri"/>
          <w:b/>
          <w:bCs/>
          <w:iCs/>
          <w:sz w:val="24"/>
          <w:szCs w:val="24"/>
          <w:lang w:eastAsia="it-IT"/>
        </w:rPr>
        <w:t>3 aprile</w:t>
      </w:r>
      <w:r w:rsidR="002D7BB9" w:rsidRPr="00462889">
        <w:rPr>
          <w:rFonts w:cs="Calibri"/>
          <w:bCs/>
          <w:iCs/>
          <w:sz w:val="24"/>
          <w:szCs w:val="24"/>
          <w:lang w:eastAsia="it-IT"/>
        </w:rPr>
        <w:t xml:space="preserve"> </w:t>
      </w:r>
      <w:r w:rsidR="002D7BB9" w:rsidRPr="00DE3875">
        <w:rPr>
          <w:rFonts w:cs="Calibri"/>
          <w:b/>
          <w:bCs/>
          <w:iCs/>
          <w:sz w:val="24"/>
          <w:szCs w:val="24"/>
          <w:lang w:eastAsia="it-IT"/>
        </w:rPr>
        <w:t>2026.</w:t>
      </w:r>
    </w:p>
    <w:p w14:paraId="31C7F03E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bookmarkStart w:id="1" w:name="_GoBack"/>
      <w:bookmarkEnd w:id="1"/>
    </w:p>
    <w:p w14:paraId="7BE5F9C2" w14:textId="0A536AD5" w:rsidR="00EF6711" w:rsidRPr="00462889" w:rsidRDefault="004F211A" w:rsidP="00EF671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7170D7" w:rsidRPr="00462889">
        <w:rPr>
          <w:rFonts w:cs="Calibri"/>
          <w:bCs/>
          <w:iCs/>
          <w:sz w:val="24"/>
          <w:szCs w:val="24"/>
          <w:lang w:eastAsia="it-IT"/>
        </w:rPr>
        <w:t xml:space="preserve"> </w:t>
      </w:r>
      <w:r w:rsidR="00EF6711" w:rsidRPr="00462889">
        <w:rPr>
          <w:rFonts w:cs="Calibri"/>
          <w:color w:val="000000"/>
          <w:sz w:val="24"/>
          <w:szCs w:val="24"/>
          <w:lang w:eastAsia="it-IT"/>
        </w:rPr>
        <w:t xml:space="preserve">può essere </w:t>
      </w:r>
      <w:r w:rsidR="00F801F9" w:rsidRPr="00462889">
        <w:rPr>
          <w:rFonts w:cs="Calibri"/>
          <w:color w:val="000000"/>
          <w:sz w:val="24"/>
          <w:szCs w:val="24"/>
          <w:lang w:eastAsia="it-IT"/>
        </w:rPr>
        <w:t>solo su prescrizione da parte del medico (ricetta ripetibile).</w:t>
      </w:r>
    </w:p>
    <w:p w14:paraId="0DD216E2" w14:textId="77777777" w:rsidR="00F801F9" w:rsidRPr="00462889" w:rsidRDefault="00F801F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0AB820F" w14:textId="63C4BEA1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Questa procedura è stata presentata ai sensi dell’art. </w:t>
      </w:r>
      <w:r w:rsidR="004A4C1F" w:rsidRPr="00462889">
        <w:rPr>
          <w:rFonts w:cs="Calibri"/>
          <w:sz w:val="24"/>
          <w:szCs w:val="24"/>
        </w:rPr>
        <w:t xml:space="preserve">10 (1) </w:t>
      </w:r>
      <w:r w:rsidRPr="00462889">
        <w:rPr>
          <w:rFonts w:cs="Calibri"/>
          <w:sz w:val="24"/>
          <w:szCs w:val="24"/>
        </w:rPr>
        <w:t>della Direttiva 2001/83/EU s.m.i.</w:t>
      </w:r>
      <w:r w:rsidR="00F964BE" w:rsidRPr="00462889">
        <w:rPr>
          <w:rFonts w:cs="Calibri"/>
          <w:sz w:val="24"/>
          <w:szCs w:val="24"/>
        </w:rPr>
        <w:t xml:space="preserve"> (</w:t>
      </w:r>
      <w:r w:rsidR="004A4C1F" w:rsidRPr="00462889">
        <w:rPr>
          <w:rFonts w:cs="Calibri"/>
          <w:sz w:val="24"/>
          <w:szCs w:val="24"/>
        </w:rPr>
        <w:t>generic application</w:t>
      </w:r>
      <w:r w:rsidR="00F964BE" w:rsidRPr="00462889">
        <w:rPr>
          <w:rFonts w:cs="Calibri"/>
          <w:sz w:val="24"/>
          <w:szCs w:val="24"/>
        </w:rPr>
        <w:t>)</w:t>
      </w:r>
    </w:p>
    <w:p w14:paraId="0EA95996" w14:textId="77777777" w:rsidR="0098470E" w:rsidRPr="00462889" w:rsidRDefault="0098470E" w:rsidP="00EF671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</w:p>
    <w:p w14:paraId="209552CB" w14:textId="6591E85D" w:rsidR="004E5A39" w:rsidRPr="00462889" w:rsidRDefault="004F211A" w:rsidP="00F801F9">
      <w:pPr>
        <w:widowControl w:val="0"/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42214D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462889">
        <w:rPr>
          <w:rFonts w:cs="Calibri"/>
          <w:sz w:val="24"/>
          <w:szCs w:val="24"/>
          <w:lang w:eastAsia="it-IT"/>
        </w:rPr>
        <w:t>è un medicinale contenente un principio attivo</w:t>
      </w:r>
      <w:r w:rsidR="0099120C" w:rsidRPr="00462889">
        <w:rPr>
          <w:rFonts w:cs="Calibri"/>
          <w:sz w:val="24"/>
          <w:szCs w:val="24"/>
          <w:lang w:eastAsia="it-IT"/>
        </w:rPr>
        <w:t xml:space="preserve"> </w:t>
      </w:r>
      <w:r w:rsidR="004E5A39" w:rsidRPr="00462889">
        <w:rPr>
          <w:rFonts w:cs="Calibri"/>
          <w:sz w:val="24"/>
          <w:szCs w:val="24"/>
          <w:lang w:eastAsia="it-IT"/>
        </w:rPr>
        <w:t>noto</w:t>
      </w:r>
      <w:r w:rsidR="004A4C1F" w:rsidRPr="00462889">
        <w:rPr>
          <w:rFonts w:cs="Calibri"/>
          <w:sz w:val="24"/>
          <w:szCs w:val="24"/>
          <w:lang w:eastAsia="it-IT"/>
        </w:rPr>
        <w:t>, brivaracetam</w:t>
      </w:r>
      <w:r w:rsidR="002D7BB9" w:rsidRPr="00462889">
        <w:rPr>
          <w:rFonts w:cs="Calibri"/>
          <w:sz w:val="24"/>
          <w:szCs w:val="24"/>
          <w:lang w:eastAsia="it-IT"/>
        </w:rPr>
        <w:t>,</w:t>
      </w:r>
      <w:r w:rsidR="00F964BE" w:rsidRPr="00462889">
        <w:rPr>
          <w:rFonts w:cs="Calibri"/>
          <w:sz w:val="24"/>
          <w:szCs w:val="24"/>
          <w:lang w:eastAsia="it-IT"/>
        </w:rPr>
        <w:t xml:space="preserve"> </w:t>
      </w:r>
      <w:r w:rsidR="004E5A39" w:rsidRPr="00462889">
        <w:rPr>
          <w:rFonts w:cs="Calibri"/>
          <w:sz w:val="24"/>
          <w:szCs w:val="24"/>
          <w:lang w:eastAsia="it-IT"/>
        </w:rPr>
        <w:t>present</w:t>
      </w:r>
      <w:r w:rsidR="00C42AAC" w:rsidRPr="00462889">
        <w:rPr>
          <w:rFonts w:cs="Calibri"/>
          <w:sz w:val="24"/>
          <w:szCs w:val="24"/>
          <w:lang w:eastAsia="it-IT"/>
        </w:rPr>
        <w:t>e</w:t>
      </w:r>
      <w:r w:rsidR="004E5A39" w:rsidRPr="00462889">
        <w:rPr>
          <w:rFonts w:cs="Calibri"/>
          <w:sz w:val="24"/>
          <w:szCs w:val="24"/>
          <w:lang w:eastAsia="it-IT"/>
        </w:rPr>
        <w:t xml:space="preserve"> nel medicinale di riferimento </w:t>
      </w:r>
      <w:r w:rsidR="00F801F9" w:rsidRPr="00462889">
        <w:rPr>
          <w:rFonts w:cs="Calibri"/>
          <w:sz w:val="24"/>
          <w:szCs w:val="24"/>
          <w:lang w:eastAsia="it-IT"/>
        </w:rPr>
        <w:t>Nubriveo</w:t>
      </w:r>
      <w:r w:rsidR="0042214D" w:rsidRPr="00462889">
        <w:rPr>
          <w:rFonts w:cs="Calibri"/>
          <w:sz w:val="24"/>
          <w:szCs w:val="24"/>
          <w:lang w:eastAsia="it-IT"/>
        </w:rPr>
        <w:t xml:space="preserve"> aut</w:t>
      </w:r>
      <w:r w:rsidR="004E5A39" w:rsidRPr="00462889">
        <w:rPr>
          <w:rFonts w:cs="Calibri"/>
          <w:sz w:val="24"/>
          <w:szCs w:val="24"/>
          <w:lang w:eastAsia="it-IT"/>
        </w:rPr>
        <w:t xml:space="preserve">orizzato in Italia da più di </w:t>
      </w:r>
      <w:r w:rsidR="007D2539" w:rsidRPr="00462889">
        <w:rPr>
          <w:rFonts w:cs="Calibri"/>
          <w:sz w:val="24"/>
          <w:szCs w:val="24"/>
          <w:lang w:eastAsia="it-IT"/>
        </w:rPr>
        <w:t>8</w:t>
      </w:r>
      <w:r w:rsidR="00F801F9" w:rsidRPr="00462889">
        <w:rPr>
          <w:rFonts w:cs="Calibri"/>
          <w:sz w:val="24"/>
          <w:szCs w:val="24"/>
          <w:lang w:eastAsia="it-IT"/>
        </w:rPr>
        <w:t xml:space="preserve"> anni.</w:t>
      </w:r>
    </w:p>
    <w:p w14:paraId="7FCBDEEE" w14:textId="77777777" w:rsidR="00F801F9" w:rsidRPr="00462889" w:rsidRDefault="00F801F9" w:rsidP="00F801F9">
      <w:pPr>
        <w:widowControl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0225683C" w14:textId="77777777" w:rsidR="005A2856" w:rsidRPr="00462889" w:rsidRDefault="004F211A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bCs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4E5A39" w:rsidRPr="00462889">
        <w:rPr>
          <w:rFonts w:cs="Calibri"/>
          <w:bCs/>
          <w:sz w:val="24"/>
          <w:szCs w:val="24"/>
          <w:lang w:eastAsia="it-IT"/>
        </w:rPr>
        <w:t xml:space="preserve">, </w:t>
      </w:r>
      <w:r w:rsidR="004E5A39" w:rsidRPr="00462889">
        <w:rPr>
          <w:rFonts w:cs="Calibri"/>
          <w:sz w:val="24"/>
          <w:szCs w:val="24"/>
        </w:rPr>
        <w:t>il cui c</w:t>
      </w:r>
      <w:r w:rsidR="004E5A39" w:rsidRPr="00462889">
        <w:rPr>
          <w:rFonts w:cs="Calibri"/>
          <w:iCs/>
          <w:sz w:val="24"/>
          <w:szCs w:val="24"/>
        </w:rPr>
        <w:t xml:space="preserve">odice ATC è </w:t>
      </w:r>
      <w:r w:rsidR="00910BAA" w:rsidRPr="00462889">
        <w:rPr>
          <w:rFonts w:cs="Calibri"/>
          <w:sz w:val="24"/>
          <w:szCs w:val="24"/>
        </w:rPr>
        <w:t>N03AX23</w:t>
      </w:r>
      <w:r w:rsidR="004E5A39" w:rsidRPr="00462889">
        <w:rPr>
          <w:rFonts w:eastAsia="DejaVuSans" w:cs="Calibri"/>
          <w:sz w:val="24"/>
          <w:szCs w:val="24"/>
        </w:rPr>
        <w:t>,</w:t>
      </w:r>
      <w:r w:rsidR="004E5A39" w:rsidRPr="00462889">
        <w:rPr>
          <w:rFonts w:cs="Calibri"/>
          <w:bCs/>
          <w:sz w:val="24"/>
          <w:szCs w:val="24"/>
          <w:lang w:eastAsia="it-IT"/>
        </w:rPr>
        <w:t xml:space="preserve"> </w:t>
      </w:r>
      <w:r w:rsidR="004E5A39" w:rsidRPr="00462889">
        <w:rPr>
          <w:rFonts w:cs="Calibri"/>
          <w:sz w:val="24"/>
          <w:szCs w:val="24"/>
          <w:lang w:eastAsia="it-IT"/>
        </w:rPr>
        <w:t xml:space="preserve">contiene </w:t>
      </w:r>
      <w:r w:rsidR="00C42AAC" w:rsidRPr="00462889">
        <w:rPr>
          <w:rFonts w:cs="Calibri"/>
          <w:sz w:val="24"/>
          <w:szCs w:val="24"/>
          <w:lang w:eastAsia="it-IT"/>
        </w:rPr>
        <w:t>il</w:t>
      </w:r>
      <w:r w:rsidR="004E5A39" w:rsidRPr="00462889">
        <w:rPr>
          <w:rFonts w:cs="Calibri"/>
          <w:sz w:val="24"/>
          <w:szCs w:val="24"/>
          <w:lang w:eastAsia="it-IT"/>
        </w:rPr>
        <w:t xml:space="preserve"> principi</w:t>
      </w:r>
      <w:r w:rsidR="00C42AAC" w:rsidRPr="00462889">
        <w:rPr>
          <w:rFonts w:cs="Calibri"/>
          <w:sz w:val="24"/>
          <w:szCs w:val="24"/>
          <w:lang w:eastAsia="it-IT"/>
        </w:rPr>
        <w:t>o</w:t>
      </w:r>
      <w:r w:rsidR="004E5A39" w:rsidRPr="00462889">
        <w:rPr>
          <w:rFonts w:cs="Calibri"/>
          <w:sz w:val="24"/>
          <w:szCs w:val="24"/>
          <w:lang w:eastAsia="it-IT"/>
        </w:rPr>
        <w:t xml:space="preserve"> attiv</w:t>
      </w:r>
      <w:r w:rsidR="00C42AAC" w:rsidRPr="00462889">
        <w:rPr>
          <w:rFonts w:cs="Calibri"/>
          <w:sz w:val="24"/>
          <w:szCs w:val="24"/>
          <w:lang w:eastAsia="it-IT"/>
        </w:rPr>
        <w:t>o</w:t>
      </w:r>
      <w:r w:rsidR="004E5A39" w:rsidRPr="00462889">
        <w:rPr>
          <w:rFonts w:cs="Calibri"/>
          <w:sz w:val="24"/>
          <w:szCs w:val="24"/>
          <w:lang w:eastAsia="it-IT"/>
        </w:rPr>
        <w:t xml:space="preserve"> </w:t>
      </w:r>
      <w:r w:rsidR="00F801F9" w:rsidRPr="00462889">
        <w:rPr>
          <w:rFonts w:cs="Calibri"/>
          <w:sz w:val="24"/>
          <w:szCs w:val="24"/>
          <w:lang w:eastAsia="it-IT"/>
        </w:rPr>
        <w:t>brivaracetam</w:t>
      </w:r>
      <w:r w:rsidR="00B1186F" w:rsidRPr="00462889">
        <w:rPr>
          <w:rFonts w:cs="Calibri"/>
          <w:bCs/>
          <w:sz w:val="24"/>
          <w:szCs w:val="24"/>
          <w:lang w:eastAsia="it-IT"/>
        </w:rPr>
        <w:t>,</w:t>
      </w:r>
      <w:r w:rsidR="005A2856" w:rsidRPr="00462889">
        <w:rPr>
          <w:rFonts w:cs="Calibri"/>
          <w:bCs/>
          <w:sz w:val="24"/>
          <w:szCs w:val="24"/>
          <w:lang w:eastAsia="it-IT"/>
        </w:rPr>
        <w:t xml:space="preserve"> mostra un'affinità elevata e selettiva per la proteina 2A della vescicola sinaptica (SV2A), una glicoproteina transmembrana trovata a livello presinaptico nei neuroni e nelle cellule endocrine. Sebbene il ruolo esatto di questa proteina debba ancora essere chiarito, si è dimostrato che modula l'esocitosi dei neurotrasmettitori. Si ritiene che il legame con SV2A sia il meccanismo principale alla base dell'attività anticonvulsivante di brivaracetam</w:t>
      </w:r>
    </w:p>
    <w:p w14:paraId="641ABF1B" w14:textId="77777777" w:rsidR="00EF6711" w:rsidRPr="00462889" w:rsidRDefault="00EF6711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</w:p>
    <w:p w14:paraId="71225CA7" w14:textId="5AEC9D20" w:rsidR="00265B61" w:rsidRPr="00462889" w:rsidRDefault="004F211A" w:rsidP="00EF671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i/>
          <w:sz w:val="24"/>
          <w:szCs w:val="24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42214D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265B61" w:rsidRPr="00462889">
        <w:rPr>
          <w:rFonts w:cs="Calibri"/>
          <w:sz w:val="24"/>
          <w:szCs w:val="24"/>
        </w:rPr>
        <w:t xml:space="preserve">è utilizzato </w:t>
      </w:r>
      <w:r w:rsidR="009B3C75" w:rsidRPr="00462889">
        <w:rPr>
          <w:rFonts w:cs="Calibri"/>
          <w:sz w:val="24"/>
          <w:szCs w:val="24"/>
        </w:rPr>
        <w:t>come terapia aggiuntiva nel trattamento delle crisi ad esordio parziale con o senza generalizzazione secondaria in soggetti adulti, adolescenti e bambini a partire dai 2 anni di età con epilessia.</w:t>
      </w:r>
    </w:p>
    <w:p w14:paraId="185371A3" w14:textId="2E16C05F" w:rsidR="0042214D" w:rsidRPr="00462889" w:rsidRDefault="0042214D" w:rsidP="0042214D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La richiesta di AIC è supportata da uno studio di bioequivalenza che ha confrontato i profili farmacocinetici del medicinale test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</w:rPr>
        <w:t xml:space="preserve">e quelli del medicinale di riferimento </w:t>
      </w:r>
      <w:r w:rsidR="00BC7D22" w:rsidRPr="00462889">
        <w:rPr>
          <w:rFonts w:cs="Calibri"/>
          <w:sz w:val="24"/>
          <w:szCs w:val="24"/>
        </w:rPr>
        <w:t>Briviact (in Italia Nubivreo)</w:t>
      </w:r>
      <w:r w:rsidRPr="00462889">
        <w:rPr>
          <w:rFonts w:cs="Calibri"/>
          <w:sz w:val="24"/>
          <w:szCs w:val="24"/>
        </w:rPr>
        <w:t xml:space="preserve"> autorizzato in Italia</w:t>
      </w:r>
      <w:r w:rsidR="00BC7D22" w:rsidRPr="00462889">
        <w:rPr>
          <w:rFonts w:cs="Calibri"/>
          <w:sz w:val="24"/>
          <w:szCs w:val="24"/>
        </w:rPr>
        <w:t>.</w:t>
      </w:r>
    </w:p>
    <w:p w14:paraId="543B36FB" w14:textId="4148D33B" w:rsidR="0042214D" w:rsidRPr="00462889" w:rsidRDefault="0042214D" w:rsidP="0042214D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Lo studio di bioequivalenza è stato condotto in conformità alle linee guida di Buona Pratica Clinica (</w:t>
      </w:r>
      <w:r w:rsidRPr="00462889">
        <w:rPr>
          <w:rFonts w:cs="Calibri"/>
          <w:i/>
          <w:sz w:val="24"/>
          <w:szCs w:val="24"/>
        </w:rPr>
        <w:t>Good Clinical Practice</w:t>
      </w:r>
      <w:r w:rsidRPr="00462889">
        <w:rPr>
          <w:rFonts w:cs="Calibri"/>
          <w:sz w:val="24"/>
          <w:szCs w:val="24"/>
        </w:rPr>
        <w:t xml:space="preserve"> - GCP).</w:t>
      </w:r>
    </w:p>
    <w:p w14:paraId="7EB920EF" w14:textId="77777777" w:rsidR="00F964BE" w:rsidRPr="00462889" w:rsidRDefault="00F964BE" w:rsidP="0042214D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8810098" w14:textId="77777777" w:rsidR="00BC7D22" w:rsidRPr="00462889" w:rsidRDefault="00BC7D22" w:rsidP="00BC7D22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Per i dosaggi 10 mg, 25 mg, 50 mg e 75 mg è stata dimostrata l’equivalenza farmaceutica tramite studi comparativi di equivalenza farmaceutica in accordo alle linee guida applicabili</w:t>
      </w:r>
    </w:p>
    <w:p w14:paraId="4CD01028" w14:textId="77777777" w:rsidR="00CC52A3" w:rsidRPr="00462889" w:rsidRDefault="00CC52A3" w:rsidP="0042214D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CFA6D2C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Le officine coinvolte nella produzione sono conformi alle linee guida di Buona Pratica di Fabbricazione (</w:t>
      </w:r>
      <w:r w:rsidRPr="00462889">
        <w:rPr>
          <w:rFonts w:cs="Calibri"/>
          <w:i/>
          <w:sz w:val="24"/>
          <w:szCs w:val="24"/>
        </w:rPr>
        <w:t>Good Manufacturing Practice</w:t>
      </w:r>
      <w:r w:rsidRPr="00462889">
        <w:rPr>
          <w:rFonts w:cs="Calibri"/>
          <w:sz w:val="24"/>
          <w:szCs w:val="24"/>
        </w:rPr>
        <w:t xml:space="preserve"> - GMP). </w:t>
      </w:r>
    </w:p>
    <w:p w14:paraId="2E3B2799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E6AE0BD" w14:textId="77777777" w:rsidR="00B862CA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Il sistema di Farmacovigilanza descritto dal titolare dell’AIC è conforme ai requisiti previsti dalla normativa corrente. E’ stato presentato un Piano di gestione del rischio (</w:t>
      </w:r>
      <w:r w:rsidRPr="00462889">
        <w:rPr>
          <w:rFonts w:cs="Calibri"/>
          <w:i/>
          <w:sz w:val="24"/>
          <w:szCs w:val="24"/>
        </w:rPr>
        <w:t>Risk Management Plan</w:t>
      </w:r>
      <w:r w:rsidRPr="00462889">
        <w:rPr>
          <w:rFonts w:cs="Calibri"/>
          <w:sz w:val="24"/>
          <w:szCs w:val="24"/>
        </w:rPr>
        <w:t xml:space="preserve"> – RMP) accettabile.</w:t>
      </w:r>
      <w:r w:rsidR="00F964BE" w:rsidRPr="00462889">
        <w:rPr>
          <w:rFonts w:cs="Calibri"/>
          <w:sz w:val="24"/>
          <w:szCs w:val="24"/>
        </w:rPr>
        <w:t xml:space="preserve"> </w:t>
      </w:r>
    </w:p>
    <w:p w14:paraId="26B6B6AB" w14:textId="77777777" w:rsidR="009B3C75" w:rsidRPr="00462889" w:rsidRDefault="009B3C75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46721CA" w14:textId="130FB17E" w:rsidR="00A046AC" w:rsidRPr="00462889" w:rsidRDefault="00A046AC" w:rsidP="00A046A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Il titolare di AIC ha presentato una adeguata documentazione relativa alla valutazione del rischio ambientale </w:t>
      </w:r>
      <w:r w:rsidRPr="00462889">
        <w:rPr>
          <w:rFonts w:cs="Calibri"/>
          <w:color w:val="000000"/>
          <w:sz w:val="24"/>
          <w:szCs w:val="24"/>
          <w:lang w:eastAsia="it-IT"/>
        </w:rPr>
        <w:t>da cui si evince c</w:t>
      </w:r>
      <w:r w:rsidR="004F343B" w:rsidRPr="00462889">
        <w:rPr>
          <w:rFonts w:cs="Calibri"/>
          <w:color w:val="000000"/>
          <w:sz w:val="24"/>
          <w:szCs w:val="24"/>
          <w:lang w:eastAsia="it-IT"/>
        </w:rPr>
        <w:t>he l’immissione in commercio di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contenente </w:t>
      </w:r>
      <w:r w:rsidR="002E4F5B" w:rsidRPr="00462889">
        <w:rPr>
          <w:rFonts w:cs="Calibri"/>
          <w:color w:val="000000"/>
          <w:sz w:val="24"/>
          <w:szCs w:val="24"/>
          <w:lang w:eastAsia="it-IT"/>
        </w:rPr>
        <w:t>brivaracetam</w:t>
      </w:r>
      <w:r w:rsidR="00A03645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nella formulazione proposta non comporta </w:t>
      </w:r>
      <w:r w:rsidR="00305E28" w:rsidRPr="00462889">
        <w:rPr>
          <w:rFonts w:cs="Calibri"/>
          <w:color w:val="000000"/>
          <w:sz w:val="24"/>
          <w:szCs w:val="24"/>
          <w:lang w:eastAsia="it-IT"/>
        </w:rPr>
        <w:t xml:space="preserve">un </w:t>
      </w:r>
      <w:r w:rsidRPr="00462889">
        <w:rPr>
          <w:rFonts w:cs="Calibri"/>
          <w:color w:val="000000"/>
          <w:sz w:val="24"/>
          <w:szCs w:val="24"/>
          <w:lang w:eastAsia="it-IT"/>
        </w:rPr>
        <w:t>rischi</w:t>
      </w:r>
      <w:r w:rsidR="00305E28" w:rsidRPr="00462889">
        <w:rPr>
          <w:rFonts w:cs="Calibri"/>
          <w:color w:val="000000"/>
          <w:sz w:val="24"/>
          <w:szCs w:val="24"/>
          <w:lang w:eastAsia="it-IT"/>
        </w:rPr>
        <w:t>o significativo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per l’ambiente. </w:t>
      </w:r>
    </w:p>
    <w:p w14:paraId="53880511" w14:textId="77777777" w:rsidR="00A046AC" w:rsidRPr="00462889" w:rsidRDefault="00A046AC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24375058" w14:textId="77777777" w:rsidR="00747E46" w:rsidRPr="00462889" w:rsidRDefault="00747E46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911FA69" w14:textId="77777777" w:rsidR="004E5A39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ASPETTI DI QUALITA’</w:t>
      </w:r>
    </w:p>
    <w:p w14:paraId="399471C1" w14:textId="77777777" w:rsidR="00A0468B" w:rsidRPr="00462889" w:rsidRDefault="00A0468B" w:rsidP="00A0468B">
      <w:pPr>
        <w:pStyle w:val="Paragrafoelenco"/>
        <w:spacing w:after="0" w:line="240" w:lineRule="auto"/>
        <w:ind w:left="1800"/>
        <w:jc w:val="both"/>
        <w:rPr>
          <w:rFonts w:cs="Calibri"/>
          <w:b/>
          <w:sz w:val="24"/>
          <w:szCs w:val="24"/>
        </w:rPr>
      </w:pPr>
    </w:p>
    <w:p w14:paraId="69B6B33D" w14:textId="43D1C736" w:rsidR="006315A4" w:rsidRPr="00462889" w:rsidRDefault="009153E7" w:rsidP="00CC52A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u w:val="single"/>
        </w:rPr>
      </w:pPr>
      <w:r w:rsidRPr="00E07512">
        <w:rPr>
          <w:rFonts w:cs="Calibri"/>
          <w:b/>
          <w:sz w:val="24"/>
          <w:szCs w:val="24"/>
        </w:rPr>
        <w:t>II.1 PRINCIPIO ATTIVO</w:t>
      </w:r>
    </w:p>
    <w:p w14:paraId="6B6A0F8D" w14:textId="49CD72B7" w:rsidR="004E5A39" w:rsidRPr="00462889" w:rsidRDefault="00B51571" w:rsidP="00CC52A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  <w:u w:val="single"/>
        </w:rPr>
        <w:lastRenderedPageBreak/>
        <w:t>Denominazione</w:t>
      </w:r>
      <w:r w:rsidR="004E5A39" w:rsidRPr="00462889">
        <w:rPr>
          <w:rFonts w:cs="Calibri"/>
          <w:sz w:val="24"/>
          <w:szCs w:val="24"/>
          <w:u w:val="single"/>
        </w:rPr>
        <w:t xml:space="preserve"> chimic</w:t>
      </w:r>
      <w:r w:rsidR="00396755" w:rsidRPr="00462889">
        <w:rPr>
          <w:rFonts w:cs="Calibri"/>
          <w:sz w:val="24"/>
          <w:szCs w:val="24"/>
          <w:u w:val="single"/>
        </w:rPr>
        <w:t>a</w:t>
      </w:r>
      <w:r w:rsidR="00396755" w:rsidRPr="001B50AB">
        <w:rPr>
          <w:rFonts w:cs="Calibri"/>
          <w:sz w:val="24"/>
          <w:szCs w:val="24"/>
        </w:rPr>
        <w:t xml:space="preserve">: </w:t>
      </w:r>
      <w:r w:rsidR="00396755" w:rsidRPr="00F26956">
        <w:rPr>
          <w:rFonts w:cs="Calibri"/>
          <w:sz w:val="24"/>
          <w:szCs w:val="24"/>
        </w:rPr>
        <w:t>(2S)-2-[(4R)-2-Oxo-4-propylpyrrolidin-1-yl]butanamide</w:t>
      </w:r>
      <w:r w:rsidR="00396755" w:rsidRPr="00462889">
        <w:rPr>
          <w:rFonts w:cs="Calibri"/>
          <w:sz w:val="24"/>
          <w:szCs w:val="24"/>
          <w:u w:val="single"/>
        </w:rPr>
        <w:t xml:space="preserve"> </w:t>
      </w:r>
    </w:p>
    <w:p w14:paraId="5EE393F9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  <w:u w:val="single"/>
        </w:rPr>
        <w:t>Struttura</w:t>
      </w:r>
      <w:r w:rsidRPr="00462889">
        <w:rPr>
          <w:rFonts w:cs="Calibri"/>
          <w:sz w:val="24"/>
          <w:szCs w:val="24"/>
        </w:rPr>
        <w:t>:</w:t>
      </w:r>
    </w:p>
    <w:p w14:paraId="299533DE" w14:textId="680F03B4" w:rsidR="00602DAF" w:rsidRPr="00462889" w:rsidRDefault="00246598" w:rsidP="00EF6711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462889">
        <w:rPr>
          <w:noProof/>
          <w:lang w:eastAsia="it-IT"/>
        </w:rPr>
        <w:drawing>
          <wp:inline distT="0" distB="0" distL="0" distR="0" wp14:anchorId="7BF977D0" wp14:editId="5A396CC7">
            <wp:extent cx="2377440" cy="16383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600" t="45270" r="44353" b="403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7D267" w14:textId="6457B8AF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  <w:u w:val="single"/>
        </w:rPr>
        <w:t>Formula molecolare</w:t>
      </w:r>
      <w:r w:rsidRPr="00462889">
        <w:rPr>
          <w:rFonts w:cs="Calibri"/>
          <w:sz w:val="24"/>
          <w:szCs w:val="24"/>
        </w:rPr>
        <w:t>:</w:t>
      </w:r>
      <w:r w:rsidRPr="00462889">
        <w:rPr>
          <w:rStyle w:val="s1"/>
          <w:rFonts w:ascii="Calibri" w:hAnsi="Calibri" w:cs="Calibri"/>
          <w:sz w:val="24"/>
          <w:szCs w:val="24"/>
        </w:rPr>
        <w:t xml:space="preserve"> </w:t>
      </w:r>
      <w:r w:rsidR="00A06733" w:rsidRPr="00462889">
        <w:rPr>
          <w:rFonts w:cs="Calibri"/>
          <w:sz w:val="24"/>
          <w:szCs w:val="24"/>
        </w:rPr>
        <w:t>C</w:t>
      </w:r>
      <w:r w:rsidR="00A06733" w:rsidRPr="00462889">
        <w:rPr>
          <w:rFonts w:cs="Calibri"/>
          <w:sz w:val="24"/>
          <w:szCs w:val="24"/>
          <w:vertAlign w:val="subscript"/>
        </w:rPr>
        <w:t>11</w:t>
      </w:r>
      <w:r w:rsidR="00A06733" w:rsidRPr="00462889">
        <w:rPr>
          <w:rFonts w:cs="Calibri"/>
          <w:sz w:val="24"/>
          <w:szCs w:val="24"/>
        </w:rPr>
        <w:t>H</w:t>
      </w:r>
      <w:r w:rsidR="00A06733" w:rsidRPr="00462889">
        <w:rPr>
          <w:rFonts w:cs="Calibri"/>
          <w:sz w:val="24"/>
          <w:szCs w:val="24"/>
          <w:vertAlign w:val="subscript"/>
        </w:rPr>
        <w:t>20</w:t>
      </w:r>
      <w:r w:rsidR="00A06733" w:rsidRPr="00462889">
        <w:rPr>
          <w:rFonts w:cs="Calibri"/>
          <w:sz w:val="24"/>
          <w:szCs w:val="24"/>
        </w:rPr>
        <w:t>N</w:t>
      </w:r>
      <w:r w:rsidR="00A06733" w:rsidRPr="00462889">
        <w:rPr>
          <w:rFonts w:cs="Calibri"/>
          <w:sz w:val="24"/>
          <w:szCs w:val="24"/>
          <w:vertAlign w:val="subscript"/>
        </w:rPr>
        <w:t>2</w:t>
      </w:r>
      <w:r w:rsidR="00A06733" w:rsidRPr="00462889">
        <w:rPr>
          <w:rFonts w:cs="Calibri"/>
          <w:sz w:val="24"/>
          <w:szCs w:val="24"/>
        </w:rPr>
        <w:t>O</w:t>
      </w:r>
      <w:r w:rsidR="00A06733" w:rsidRPr="00462889">
        <w:rPr>
          <w:rFonts w:cs="Calibri"/>
          <w:sz w:val="24"/>
          <w:szCs w:val="24"/>
          <w:vertAlign w:val="subscript"/>
        </w:rPr>
        <w:t>2</w:t>
      </w:r>
    </w:p>
    <w:p w14:paraId="007F9AAE" w14:textId="338F8C6D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  <w:u w:val="single"/>
        </w:rPr>
        <w:t>Peso molecolare</w:t>
      </w:r>
      <w:r w:rsidRPr="00462889">
        <w:rPr>
          <w:rFonts w:cs="Calibri"/>
          <w:sz w:val="24"/>
          <w:szCs w:val="24"/>
        </w:rPr>
        <w:t>:</w:t>
      </w:r>
      <w:r w:rsidRPr="00462889">
        <w:rPr>
          <w:rFonts w:cs="Calibri"/>
          <w:color w:val="252525"/>
          <w:sz w:val="24"/>
          <w:szCs w:val="24"/>
          <w:shd w:val="clear" w:color="auto" w:fill="F9F9F9"/>
        </w:rPr>
        <w:t xml:space="preserve"> </w:t>
      </w:r>
      <w:r w:rsidR="00A06733" w:rsidRPr="00462889">
        <w:rPr>
          <w:rFonts w:cs="Calibri"/>
          <w:sz w:val="24"/>
          <w:szCs w:val="24"/>
        </w:rPr>
        <w:t>212,3</w:t>
      </w:r>
      <w:r w:rsidR="009A23DE" w:rsidRPr="00462889">
        <w:rPr>
          <w:rFonts w:cs="Calibri"/>
          <w:sz w:val="24"/>
          <w:szCs w:val="24"/>
        </w:rPr>
        <w:t xml:space="preserve"> </w:t>
      </w:r>
      <w:r w:rsidRPr="00462889">
        <w:rPr>
          <w:rStyle w:val="s1"/>
          <w:rFonts w:ascii="Calibri" w:hAnsi="Calibri" w:cs="Calibri"/>
          <w:sz w:val="24"/>
          <w:szCs w:val="24"/>
        </w:rPr>
        <w:t>g/mol</w:t>
      </w:r>
    </w:p>
    <w:p w14:paraId="3A5DAFD9" w14:textId="6E5D287E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  <w:u w:val="single"/>
        </w:rPr>
        <w:t>CAS</w:t>
      </w:r>
      <w:r w:rsidRPr="00462889">
        <w:rPr>
          <w:rFonts w:cs="Calibri"/>
          <w:sz w:val="24"/>
          <w:szCs w:val="24"/>
        </w:rPr>
        <w:t xml:space="preserve">: </w:t>
      </w:r>
      <w:r w:rsidR="00CC52A3" w:rsidRPr="00462889">
        <w:rPr>
          <w:rFonts w:cs="Calibri"/>
          <w:sz w:val="24"/>
          <w:szCs w:val="24"/>
        </w:rPr>
        <w:t>[</w:t>
      </w:r>
      <w:r w:rsidR="00A06733" w:rsidRPr="00462889">
        <w:rPr>
          <w:rFonts w:cs="Calibri"/>
          <w:sz w:val="24"/>
          <w:szCs w:val="24"/>
        </w:rPr>
        <w:t>357336-20-0</w:t>
      </w:r>
      <w:r w:rsidR="00CC52A3" w:rsidRPr="00462889">
        <w:rPr>
          <w:rFonts w:cs="Calibri"/>
          <w:sz w:val="24"/>
          <w:szCs w:val="24"/>
        </w:rPr>
        <w:t>]</w:t>
      </w:r>
    </w:p>
    <w:p w14:paraId="372FD8DF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382EB9A" w14:textId="2245C2A2" w:rsidR="00265B61" w:rsidRPr="00462889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Il principio attivo </w:t>
      </w:r>
      <w:r w:rsidR="00CC52A3" w:rsidRPr="00462889">
        <w:rPr>
          <w:rFonts w:cs="Calibri"/>
          <w:sz w:val="24"/>
          <w:szCs w:val="24"/>
        </w:rPr>
        <w:t>è</w:t>
      </w:r>
      <w:r w:rsidRPr="00462889">
        <w:rPr>
          <w:rFonts w:cs="Calibri"/>
          <w:sz w:val="24"/>
          <w:szCs w:val="24"/>
        </w:rPr>
        <w:t xml:space="preserve"> presente in Farmacopea Europea; il produttore ha presentato </w:t>
      </w:r>
      <w:r w:rsidR="00435039" w:rsidRPr="00462889">
        <w:rPr>
          <w:rFonts w:cs="Calibri"/>
          <w:sz w:val="24"/>
          <w:szCs w:val="24"/>
        </w:rPr>
        <w:t>la documentazione sotto forma di Active Substance Master File</w:t>
      </w:r>
      <w:r w:rsidRPr="00462889">
        <w:rPr>
          <w:rFonts w:cs="Calibri"/>
          <w:sz w:val="24"/>
          <w:szCs w:val="24"/>
        </w:rPr>
        <w:t xml:space="preserve"> </w:t>
      </w:r>
      <w:r w:rsidR="00435039" w:rsidRPr="00462889">
        <w:rPr>
          <w:rFonts w:cs="Calibri"/>
          <w:sz w:val="24"/>
          <w:szCs w:val="24"/>
        </w:rPr>
        <w:t>(</w:t>
      </w:r>
      <w:r w:rsidRPr="00462889">
        <w:rPr>
          <w:rFonts w:cs="Calibri"/>
          <w:sz w:val="24"/>
          <w:szCs w:val="24"/>
        </w:rPr>
        <w:t>ASMF</w:t>
      </w:r>
      <w:r w:rsidR="00435039" w:rsidRPr="00462889">
        <w:rPr>
          <w:rFonts w:cs="Calibri"/>
          <w:sz w:val="24"/>
          <w:szCs w:val="24"/>
        </w:rPr>
        <w:t>)</w:t>
      </w:r>
      <w:r w:rsidR="001001B6" w:rsidRPr="00462889">
        <w:rPr>
          <w:rFonts w:cs="Calibri"/>
          <w:sz w:val="24"/>
          <w:szCs w:val="24"/>
        </w:rPr>
        <w:t>.</w:t>
      </w:r>
    </w:p>
    <w:p w14:paraId="109556AE" w14:textId="77777777" w:rsidR="00265B61" w:rsidRPr="00462889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La sintesi del principio attivo è stata adeguatamente descritta a partire da idonei materiali di partenza; sono utilizzati appropriati controlli di processo e intermedi di sintesi.</w:t>
      </w:r>
    </w:p>
    <w:p w14:paraId="4C2AFB9F" w14:textId="77777777" w:rsidR="00265B61" w:rsidRPr="00462889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Le specifiche del principio attivo sono appropriate e controllate con metodi analitici adeguatamente convalidati. Sono stati forniti certificati analitici che confermano la qualità del principio attivo.</w:t>
      </w:r>
    </w:p>
    <w:p w14:paraId="2803D542" w14:textId="77777777" w:rsidR="00265B61" w:rsidRPr="00462889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6191E4B" w14:textId="77777777" w:rsidR="00265B61" w:rsidRPr="00462889" w:rsidRDefault="00265B61" w:rsidP="00265B6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Sono stati forniti adeguati studi di stabilità per il principio attivo</w:t>
      </w:r>
      <w:r w:rsidR="00435039" w:rsidRPr="00462889">
        <w:rPr>
          <w:rFonts w:cs="Calibri"/>
          <w:sz w:val="24"/>
          <w:szCs w:val="24"/>
        </w:rPr>
        <w:t>.</w:t>
      </w:r>
      <w:r w:rsidRPr="00462889">
        <w:rPr>
          <w:rFonts w:cs="Calibri"/>
          <w:sz w:val="24"/>
          <w:szCs w:val="24"/>
        </w:rPr>
        <w:t xml:space="preserve"> </w:t>
      </w:r>
    </w:p>
    <w:p w14:paraId="3858E80A" w14:textId="77777777" w:rsidR="004B1438" w:rsidRDefault="004B1438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11C2BB19" w14:textId="31CD9EFC" w:rsidR="004E5A39" w:rsidRPr="00462889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II.2 PRODOTTO FINITO</w:t>
      </w:r>
    </w:p>
    <w:p w14:paraId="769061DB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Descrizione e composizione</w:t>
      </w:r>
    </w:p>
    <w:p w14:paraId="355AE784" w14:textId="77777777" w:rsidR="004B1438" w:rsidRPr="00462889" w:rsidRDefault="004F211A" w:rsidP="00EF6711">
      <w:pPr>
        <w:widowControl w:val="0"/>
        <w:spacing w:after="0" w:line="240" w:lineRule="auto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0B7AC8" w:rsidRPr="00462889">
        <w:rPr>
          <w:rFonts w:cs="Calibri"/>
          <w:color w:val="000000"/>
          <w:sz w:val="24"/>
          <w:szCs w:val="24"/>
          <w:lang w:eastAsia="it-IT"/>
        </w:rPr>
        <w:t xml:space="preserve"> è disponibile in </w:t>
      </w:r>
      <w:r w:rsidR="004B1438" w:rsidRPr="00462889">
        <w:rPr>
          <w:rFonts w:cs="Calibri"/>
          <w:color w:val="000000"/>
          <w:sz w:val="24"/>
          <w:szCs w:val="24"/>
          <w:lang w:eastAsia="it-IT"/>
        </w:rPr>
        <w:t>compresse rivestite con film, nei dosaggi 10 mg, 25 mg, 50 mg, 75 mg e 100 mg.</w:t>
      </w:r>
    </w:p>
    <w:p w14:paraId="1C06FC1B" w14:textId="5A48C92F" w:rsidR="004E5A39" w:rsidRPr="00462889" w:rsidRDefault="004E5A39" w:rsidP="00EF6711">
      <w:pPr>
        <w:widowControl w:val="0"/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 </w:t>
      </w:r>
    </w:p>
    <w:p w14:paraId="530260DD" w14:textId="714C80B6" w:rsidR="00B30431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Gli eccipienti sono</w:t>
      </w:r>
      <w:r w:rsidR="008031E0" w:rsidRPr="00462889">
        <w:rPr>
          <w:rFonts w:cs="Calibri"/>
          <w:sz w:val="24"/>
          <w:szCs w:val="24"/>
        </w:rPr>
        <w:t>:</w:t>
      </w:r>
    </w:p>
    <w:p w14:paraId="01B620CB" w14:textId="328F8D29" w:rsidR="008031E0" w:rsidRPr="00462889" w:rsidRDefault="008031E0" w:rsidP="007B6308">
      <w:pPr>
        <w:numPr>
          <w:ilvl w:val="0"/>
          <w:numId w:val="9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Nucleo della compressa: lattosio monoidrato, lattosio, croscarmellosa sodica e magnesio stearato;</w:t>
      </w:r>
    </w:p>
    <w:p w14:paraId="6061C41F" w14:textId="73D54E4C" w:rsidR="008031E0" w:rsidRPr="00462889" w:rsidRDefault="008031E0" w:rsidP="004D621A">
      <w:pPr>
        <w:numPr>
          <w:ilvl w:val="0"/>
          <w:numId w:val="9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Rivestimento della compressa: alcool polivinilico, titanio diossido (E171)</w:t>
      </w:r>
      <w:r w:rsidR="00AE23E8" w:rsidRPr="00462889">
        <w:rPr>
          <w:rFonts w:cs="Calibri"/>
          <w:sz w:val="24"/>
          <w:szCs w:val="24"/>
        </w:rPr>
        <w:t>, m</w:t>
      </w:r>
      <w:r w:rsidRPr="00462889">
        <w:rPr>
          <w:rFonts w:cs="Calibri"/>
          <w:sz w:val="24"/>
          <w:szCs w:val="24"/>
        </w:rPr>
        <w:t>acrogol (3350)</w:t>
      </w:r>
      <w:r w:rsidR="00AE23E8" w:rsidRPr="00462889">
        <w:rPr>
          <w:rFonts w:cs="Calibri"/>
          <w:sz w:val="24"/>
          <w:szCs w:val="24"/>
        </w:rPr>
        <w:t>, t</w:t>
      </w:r>
      <w:r w:rsidRPr="00462889">
        <w:rPr>
          <w:rFonts w:cs="Calibri"/>
          <w:sz w:val="24"/>
          <w:szCs w:val="24"/>
        </w:rPr>
        <w:t>alco</w:t>
      </w:r>
      <w:r w:rsidR="00AE23E8" w:rsidRPr="00462889">
        <w:rPr>
          <w:rFonts w:cs="Calibri"/>
          <w:sz w:val="24"/>
          <w:szCs w:val="24"/>
        </w:rPr>
        <w:t>, ossido di ferro nero (E172), ossido di ferro giallo (E172), ossido di ferro rosso (E172).</w:t>
      </w:r>
    </w:p>
    <w:p w14:paraId="1D4ADBF3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BE4AEB3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Sviluppo farmaceutico</w:t>
      </w:r>
    </w:p>
    <w:p w14:paraId="6F0EF66C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Sono stati forniti dettagli dello sviluppo farmaceutico e questi sono stati ritenuti soddisfacenti.</w:t>
      </w:r>
    </w:p>
    <w:p w14:paraId="2C106E91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D6E88B8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 xml:space="preserve">Produzione </w:t>
      </w:r>
    </w:p>
    <w:p w14:paraId="647FBEBA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Sono stati forniti una descrizione del metodo di produzione e la relativa flow-chart.</w:t>
      </w:r>
    </w:p>
    <w:p w14:paraId="13C4D524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I controlli effettuati nel corso della produzione sono appropriati per la natura del medicinale e del metodo di produzione. Sono stati forniti, inoltre, dati soddisfacenti relativi alla convalida del metodo di produzione.</w:t>
      </w:r>
    </w:p>
    <w:p w14:paraId="01318B51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64BA4F9B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Specifiche del prodotto finito</w:t>
      </w:r>
    </w:p>
    <w:p w14:paraId="5A8CDB74" w14:textId="32FF07F8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Sono state fornite adeguate specifiche di controllo per il prodotto finito al rilascio e alla fine della validità. I metodi analitici sono stati descritti e adeguatamente convalidati. Sono stati forniti, inoltre, dati analitici </w:t>
      </w:r>
      <w:r w:rsidR="000808A3" w:rsidRPr="00462889">
        <w:rPr>
          <w:rFonts w:cs="Calibri"/>
          <w:sz w:val="24"/>
          <w:szCs w:val="24"/>
        </w:rPr>
        <w:t>per i diversi dosaggi del prodott</w:t>
      </w:r>
      <w:r w:rsidR="008767B9" w:rsidRPr="00462889">
        <w:rPr>
          <w:rFonts w:cs="Calibri"/>
          <w:sz w:val="24"/>
          <w:szCs w:val="24"/>
        </w:rPr>
        <w:t>o</w:t>
      </w:r>
      <w:r w:rsidR="000808A3" w:rsidRPr="00462889">
        <w:rPr>
          <w:rFonts w:cs="Calibri"/>
          <w:sz w:val="24"/>
          <w:szCs w:val="24"/>
        </w:rPr>
        <w:t xml:space="preserve"> finito</w:t>
      </w:r>
      <w:r w:rsidRPr="00462889">
        <w:rPr>
          <w:rFonts w:cs="Calibri"/>
          <w:sz w:val="24"/>
          <w:szCs w:val="24"/>
        </w:rPr>
        <w:t xml:space="preserve">: questi dati dimostrano che i lotti prodotti sono in </w:t>
      </w:r>
      <w:r w:rsidRPr="00462889">
        <w:rPr>
          <w:rFonts w:cs="Calibri"/>
          <w:sz w:val="24"/>
          <w:szCs w:val="24"/>
        </w:rPr>
        <w:lastRenderedPageBreak/>
        <w:t xml:space="preserve">accordo alle specifiche proposte. Sono stati forniti, infine, </w:t>
      </w:r>
      <w:r w:rsidR="00F44B8C" w:rsidRPr="00462889">
        <w:rPr>
          <w:rFonts w:cs="Calibri"/>
          <w:sz w:val="24"/>
          <w:szCs w:val="24"/>
        </w:rPr>
        <w:t>dati adeguati</w:t>
      </w:r>
      <w:r w:rsidRPr="00462889">
        <w:rPr>
          <w:rFonts w:cs="Calibri"/>
          <w:sz w:val="24"/>
          <w:szCs w:val="24"/>
        </w:rPr>
        <w:t xml:space="preserve"> per </w:t>
      </w:r>
      <w:r w:rsidR="00F44B8C" w:rsidRPr="00462889">
        <w:rPr>
          <w:rFonts w:cs="Calibri"/>
          <w:sz w:val="24"/>
          <w:szCs w:val="24"/>
        </w:rPr>
        <w:t>la qualità de</w:t>
      </w:r>
      <w:r w:rsidRPr="00462889">
        <w:rPr>
          <w:rFonts w:cs="Calibri"/>
          <w:sz w:val="24"/>
          <w:szCs w:val="24"/>
        </w:rPr>
        <w:t>gli standard di riferimento utilizzati.</w:t>
      </w:r>
    </w:p>
    <w:p w14:paraId="68CBD6E4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</w:p>
    <w:p w14:paraId="6EFFDC4A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Contenitore</w:t>
      </w:r>
    </w:p>
    <w:p w14:paraId="638CBDB7" w14:textId="77777777" w:rsidR="00AF2977" w:rsidRPr="00462889" w:rsidRDefault="004F211A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0808A3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462889">
        <w:rPr>
          <w:rFonts w:cs="Calibri"/>
          <w:sz w:val="24"/>
          <w:szCs w:val="24"/>
        </w:rPr>
        <w:t xml:space="preserve">è confezionato in </w:t>
      </w:r>
      <w:r w:rsidR="00AF2977" w:rsidRPr="00462889">
        <w:rPr>
          <w:rFonts w:cs="Calibri"/>
          <w:sz w:val="24"/>
          <w:szCs w:val="24"/>
        </w:rPr>
        <w:t>blister in PVC/PCTFE – Alluminio.</w:t>
      </w:r>
    </w:p>
    <w:p w14:paraId="36031ABE" w14:textId="1CA791B0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Sono state fornite </w:t>
      </w:r>
      <w:r w:rsidR="00F44B8C" w:rsidRPr="00462889">
        <w:rPr>
          <w:rFonts w:cs="Calibri"/>
          <w:sz w:val="24"/>
          <w:szCs w:val="24"/>
        </w:rPr>
        <w:t xml:space="preserve">adeguate informazioni relative al </w:t>
      </w:r>
      <w:r w:rsidRPr="00462889">
        <w:rPr>
          <w:rFonts w:cs="Calibri"/>
          <w:sz w:val="24"/>
          <w:szCs w:val="24"/>
        </w:rPr>
        <w:t>confezionamento primario.</w:t>
      </w:r>
    </w:p>
    <w:p w14:paraId="3434C180" w14:textId="77777777" w:rsidR="00BA0ACD" w:rsidRPr="00462889" w:rsidRDefault="00BA0ACD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66F02350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Stabilità</w:t>
      </w:r>
    </w:p>
    <w:p w14:paraId="7BF55C4D" w14:textId="77777777" w:rsidR="006315A4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Studi di stabilità sul prodotto finito sono stati condotti in accordo alle correnti linee guida e i risultati sono entro i limiti delle specifiche autorizzate. Sulla base di questi risultati, è stato autorizzato un periodo di validità di </w:t>
      </w:r>
      <w:r w:rsidR="006315A4" w:rsidRPr="00462889">
        <w:rPr>
          <w:rFonts w:cs="Calibri"/>
          <w:sz w:val="24"/>
          <w:szCs w:val="24"/>
        </w:rPr>
        <w:t xml:space="preserve">36 </w:t>
      </w:r>
      <w:r w:rsidR="00165D07" w:rsidRPr="00462889">
        <w:rPr>
          <w:rFonts w:cs="Calibri"/>
          <w:sz w:val="24"/>
          <w:szCs w:val="24"/>
        </w:rPr>
        <w:t>mesi</w:t>
      </w:r>
      <w:r w:rsidRPr="00462889">
        <w:rPr>
          <w:rFonts w:cs="Calibri"/>
          <w:sz w:val="24"/>
          <w:szCs w:val="24"/>
        </w:rPr>
        <w:t xml:space="preserve"> senza nessuna condizione particolare di conservazione</w:t>
      </w:r>
      <w:r w:rsidR="006315A4" w:rsidRPr="00462889">
        <w:rPr>
          <w:rFonts w:cs="Calibri"/>
          <w:sz w:val="24"/>
          <w:szCs w:val="24"/>
        </w:rPr>
        <w:t>.</w:t>
      </w:r>
    </w:p>
    <w:p w14:paraId="3E19D456" w14:textId="77777777" w:rsidR="006315A4" w:rsidRPr="00462889" w:rsidRDefault="006315A4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77B278D2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II.3</w:t>
      </w:r>
      <w:r w:rsidR="00AC3E39" w:rsidRPr="00462889">
        <w:rPr>
          <w:rFonts w:cs="Calibri"/>
          <w:b/>
          <w:sz w:val="24"/>
          <w:szCs w:val="24"/>
        </w:rPr>
        <w:t xml:space="preserve"> </w:t>
      </w:r>
      <w:r w:rsidRPr="00462889">
        <w:rPr>
          <w:rFonts w:cs="Calibri"/>
          <w:b/>
          <w:sz w:val="24"/>
          <w:szCs w:val="24"/>
        </w:rPr>
        <w:t>Discussione sugli aspetti di qualità</w:t>
      </w:r>
    </w:p>
    <w:p w14:paraId="14D214C4" w14:textId="448C61A9" w:rsidR="004E5A39" w:rsidRPr="00462889" w:rsidRDefault="00F44B8C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L</w:t>
      </w:r>
      <w:r w:rsidR="004E5A39" w:rsidRPr="00462889">
        <w:rPr>
          <w:rFonts w:cs="Calibri"/>
          <w:sz w:val="24"/>
          <w:szCs w:val="24"/>
        </w:rPr>
        <w:t xml:space="preserve">a qualità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0808A3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462889">
        <w:rPr>
          <w:rFonts w:cs="Calibri"/>
          <w:sz w:val="24"/>
          <w:szCs w:val="24"/>
        </w:rPr>
        <w:t xml:space="preserve">è considerata adeguata. </w:t>
      </w:r>
      <w:r w:rsidR="00E42578" w:rsidRPr="00462889">
        <w:rPr>
          <w:rFonts w:cs="Calibri"/>
          <w:sz w:val="24"/>
          <w:szCs w:val="24"/>
        </w:rPr>
        <w:t>Pertanto</w:t>
      </w:r>
      <w:r w:rsidR="009F395B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4E5A39" w:rsidRPr="00462889">
        <w:rPr>
          <w:rFonts w:cs="Calibri"/>
          <w:sz w:val="24"/>
          <w:szCs w:val="24"/>
        </w:rPr>
        <w:t>dal punto di vista chimico-farmaceutico</w:t>
      </w:r>
      <w:r w:rsidR="00610BAB" w:rsidRPr="00462889">
        <w:rPr>
          <w:rFonts w:cs="Calibri"/>
          <w:sz w:val="24"/>
          <w:szCs w:val="24"/>
        </w:rPr>
        <w:t xml:space="preserve">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323648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610BAB" w:rsidRPr="00462889">
        <w:rPr>
          <w:rFonts w:cs="Calibri"/>
          <w:sz w:val="24"/>
          <w:szCs w:val="24"/>
        </w:rPr>
        <w:t>è stato considerato accettabile per l’autorizzazione all’immissione in commercio</w:t>
      </w:r>
      <w:r w:rsidR="004E5A39" w:rsidRPr="00462889">
        <w:rPr>
          <w:rFonts w:cs="Calibri"/>
          <w:sz w:val="24"/>
          <w:szCs w:val="24"/>
        </w:rPr>
        <w:t>.</w:t>
      </w:r>
      <w:r w:rsidR="00323648" w:rsidRPr="00462889">
        <w:rPr>
          <w:rFonts w:cs="Calibri"/>
          <w:sz w:val="24"/>
          <w:szCs w:val="24"/>
        </w:rPr>
        <w:t xml:space="preserve"> </w:t>
      </w:r>
    </w:p>
    <w:p w14:paraId="5A735C13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6A01993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701D99F" w14:textId="77777777" w:rsidR="004E5A39" w:rsidRPr="00462889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ASPETTI NON CLINICI</w:t>
      </w:r>
    </w:p>
    <w:p w14:paraId="05BFEA5D" w14:textId="25D9947A" w:rsidR="00F27C7F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Non sono stati </w:t>
      </w:r>
      <w:r w:rsidR="00F27C7F" w:rsidRPr="00462889">
        <w:rPr>
          <w:rFonts w:cs="Calibri"/>
          <w:sz w:val="24"/>
          <w:szCs w:val="24"/>
        </w:rPr>
        <w:t>presentati nuovi</w:t>
      </w:r>
      <w:r w:rsidRPr="00462889">
        <w:rPr>
          <w:rFonts w:cs="Calibri"/>
          <w:sz w:val="24"/>
          <w:szCs w:val="24"/>
        </w:rPr>
        <w:t xml:space="preserve"> studi non clinici, in quanto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9F395B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</w:rPr>
        <w:t>contiene principi attiv</w:t>
      </w:r>
      <w:r w:rsidR="00853EC6" w:rsidRPr="00462889">
        <w:rPr>
          <w:rFonts w:cs="Calibri"/>
          <w:sz w:val="24"/>
          <w:szCs w:val="24"/>
        </w:rPr>
        <w:t>i</w:t>
      </w:r>
      <w:r w:rsidRPr="00462889">
        <w:rPr>
          <w:rFonts w:cs="Calibri"/>
          <w:sz w:val="24"/>
          <w:szCs w:val="24"/>
        </w:rPr>
        <w:t xml:space="preserve"> not</w:t>
      </w:r>
      <w:r w:rsidR="00853EC6" w:rsidRPr="00462889">
        <w:rPr>
          <w:rFonts w:cs="Calibri"/>
          <w:sz w:val="24"/>
          <w:szCs w:val="24"/>
        </w:rPr>
        <w:t>i</w:t>
      </w:r>
      <w:r w:rsidR="00F44B8C" w:rsidRPr="00462889">
        <w:rPr>
          <w:rFonts w:cs="Calibri"/>
          <w:sz w:val="24"/>
          <w:szCs w:val="24"/>
        </w:rPr>
        <w:t xml:space="preserve"> presenti </w:t>
      </w:r>
      <w:r w:rsidR="00BA0ACD" w:rsidRPr="00462889">
        <w:rPr>
          <w:rFonts w:cs="Calibri"/>
          <w:sz w:val="24"/>
          <w:szCs w:val="24"/>
        </w:rPr>
        <w:t>nel medicinale di riferimento</w:t>
      </w:r>
      <w:r w:rsidRPr="00462889">
        <w:rPr>
          <w:rFonts w:cs="Calibri"/>
          <w:sz w:val="24"/>
          <w:szCs w:val="24"/>
        </w:rPr>
        <w:t>: questo approccio è accettabile poiché il medicinale di riferimento</w:t>
      </w:r>
      <w:r w:rsidR="00BC7D22" w:rsidRPr="00462889">
        <w:rPr>
          <w:rFonts w:cs="Calibri"/>
          <w:sz w:val="24"/>
          <w:szCs w:val="24"/>
        </w:rPr>
        <w:t xml:space="preserve"> Briviact (in Italia Nubivreo)</w:t>
      </w:r>
      <w:r w:rsidR="00524B88" w:rsidRPr="00462889">
        <w:rPr>
          <w:rFonts w:cs="Calibri"/>
          <w:sz w:val="24"/>
          <w:szCs w:val="24"/>
        </w:rPr>
        <w:t xml:space="preserve"> </w:t>
      </w:r>
      <w:r w:rsidRPr="00462889">
        <w:rPr>
          <w:rFonts w:cs="Calibri"/>
          <w:sz w:val="24"/>
          <w:szCs w:val="24"/>
        </w:rPr>
        <w:t>è autorizzato in Italia da oltre 10 anni</w:t>
      </w:r>
      <w:r w:rsidR="000808A3" w:rsidRPr="00462889">
        <w:rPr>
          <w:rFonts w:cs="Calibri"/>
          <w:sz w:val="24"/>
          <w:szCs w:val="24"/>
        </w:rPr>
        <w:t>.</w:t>
      </w:r>
      <w:r w:rsidR="009F395B" w:rsidRPr="00462889">
        <w:rPr>
          <w:rFonts w:cs="Calibri"/>
          <w:sz w:val="24"/>
          <w:szCs w:val="24"/>
        </w:rPr>
        <w:t xml:space="preserve"> </w:t>
      </w:r>
    </w:p>
    <w:p w14:paraId="2E8E9E25" w14:textId="181CE1E6" w:rsidR="00CF08A6" w:rsidRPr="00462889" w:rsidRDefault="007D0283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È </w:t>
      </w:r>
      <w:r w:rsidR="007C1A82" w:rsidRPr="00462889">
        <w:rPr>
          <w:rFonts w:cs="Calibri"/>
          <w:sz w:val="24"/>
          <w:szCs w:val="24"/>
        </w:rPr>
        <w:t xml:space="preserve">stata presentata un’adeguata trattazione dell’impatto ambientale di </w:t>
      </w:r>
      <w:r w:rsidR="007C1A82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305E28" w:rsidRPr="00462889">
        <w:rPr>
          <w:rFonts w:cs="Calibri"/>
          <w:color w:val="000000"/>
          <w:sz w:val="24"/>
          <w:szCs w:val="24"/>
          <w:lang w:eastAsia="it-IT"/>
        </w:rPr>
        <w:t xml:space="preserve">, </w:t>
      </w:r>
      <w:r w:rsidR="00EF7F14" w:rsidRPr="00462889">
        <w:rPr>
          <w:rFonts w:cs="Calibri"/>
          <w:color w:val="000000"/>
          <w:sz w:val="24"/>
          <w:szCs w:val="24"/>
          <w:lang w:eastAsia="it-IT"/>
        </w:rPr>
        <w:t>l’esito degli studi ad hoc previsti in accordo alla Linea Guida di riferimento ha mostrato l’assenza di un rischio ambientale significativo</w:t>
      </w:r>
      <w:r w:rsidR="007C1A82" w:rsidRPr="00462889">
        <w:rPr>
          <w:rFonts w:cs="Calibri"/>
          <w:color w:val="000000"/>
          <w:sz w:val="24"/>
          <w:szCs w:val="24"/>
          <w:lang w:eastAsia="it-IT"/>
        </w:rPr>
        <w:t>.</w:t>
      </w:r>
    </w:p>
    <w:p w14:paraId="2EA3200E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58C44E0" w14:textId="77777777" w:rsidR="009F584E" w:rsidRPr="00462889" w:rsidRDefault="009F584E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13B291C" w14:textId="77777777" w:rsidR="004E5A39" w:rsidRPr="00462889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ASPETTI CLINICI</w:t>
      </w:r>
    </w:p>
    <w:p w14:paraId="2CA343A1" w14:textId="0D054639" w:rsidR="00265B61" w:rsidRPr="00462889" w:rsidRDefault="004F211A" w:rsidP="00265B61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="Calibri"/>
          <w:sz w:val="24"/>
          <w:szCs w:val="24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9F395B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265B61" w:rsidRPr="00462889">
        <w:rPr>
          <w:rFonts w:cs="Calibri"/>
          <w:sz w:val="24"/>
          <w:szCs w:val="24"/>
        </w:rPr>
        <w:t xml:space="preserve">è </w:t>
      </w:r>
      <w:r w:rsidR="00D64AC7" w:rsidRPr="00462889">
        <w:rPr>
          <w:rFonts w:cs="Calibri"/>
          <w:sz w:val="24"/>
          <w:szCs w:val="24"/>
        </w:rPr>
        <w:t>utilizzato come terapia aggiuntiva nel trattamento delle crisi ad esordio parziale con o senza generalizzazione secondaria in soggetti adulti, adolescenti e bambini a partire dai 2 anni di età con epilessia.</w:t>
      </w:r>
    </w:p>
    <w:p w14:paraId="0E6635E8" w14:textId="77777777" w:rsidR="004E5A39" w:rsidRPr="00462889" w:rsidRDefault="004E5A39" w:rsidP="00EF6711">
      <w:pPr>
        <w:spacing w:after="0" w:line="240" w:lineRule="auto"/>
        <w:ind w:right="6"/>
        <w:jc w:val="both"/>
        <w:rPr>
          <w:rFonts w:cs="Calibri"/>
          <w:sz w:val="24"/>
          <w:szCs w:val="24"/>
        </w:rPr>
      </w:pPr>
    </w:p>
    <w:p w14:paraId="022EC486" w14:textId="77777777" w:rsidR="004E5A39" w:rsidRPr="00462889" w:rsidRDefault="004E5A39" w:rsidP="00EF6711">
      <w:pPr>
        <w:spacing w:after="0" w:line="240" w:lineRule="auto"/>
        <w:ind w:right="6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Posologia e modalità di somministrazione</w:t>
      </w:r>
    </w:p>
    <w:p w14:paraId="573607D8" w14:textId="77777777" w:rsidR="004E5A39" w:rsidRPr="00462889" w:rsidRDefault="004E5A39" w:rsidP="00EF6711">
      <w:pPr>
        <w:spacing w:after="0" w:line="240" w:lineRule="auto"/>
        <w:ind w:right="6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sz w:val="24"/>
          <w:szCs w:val="24"/>
        </w:rPr>
        <w:t xml:space="preserve">Le informazioni sulla posologia e sulle modalità di somministrazione sono riportate nel Riassunto delle Caratteristiche del Prodotto pubblicato sul sito dell’Agenzia Italiana del Farmaco - </w:t>
      </w:r>
      <w:hyperlink r:id="rId12" w:anchor="/it/" w:history="1">
        <w:r w:rsidR="00165D07" w:rsidRPr="00462889">
          <w:rPr>
            <w:rStyle w:val="Collegamentoipertestuale"/>
            <w:rFonts w:cs="Calibri"/>
            <w:sz w:val="24"/>
            <w:szCs w:val="24"/>
            <w:lang w:eastAsia="it-IT"/>
          </w:rPr>
          <w:t>https://medicinali.aifa.gov.it/it/#/it/</w:t>
        </w:r>
      </w:hyperlink>
    </w:p>
    <w:p w14:paraId="4ED7C808" w14:textId="77777777" w:rsidR="00195C98" w:rsidRPr="00462889" w:rsidRDefault="00195C98" w:rsidP="00EF6711">
      <w:pPr>
        <w:spacing w:after="0" w:line="240" w:lineRule="auto"/>
        <w:ind w:right="6"/>
        <w:jc w:val="both"/>
        <w:rPr>
          <w:rFonts w:cs="Calibri"/>
          <w:sz w:val="24"/>
          <w:szCs w:val="24"/>
          <w:lang w:eastAsia="it-IT"/>
        </w:rPr>
      </w:pPr>
    </w:p>
    <w:p w14:paraId="5D88B9D7" w14:textId="77777777" w:rsidR="004E5A39" w:rsidRPr="00462889" w:rsidRDefault="004E5A39" w:rsidP="00EF6711">
      <w:pPr>
        <w:spacing w:after="0" w:line="240" w:lineRule="auto"/>
        <w:ind w:right="6"/>
        <w:jc w:val="both"/>
        <w:rPr>
          <w:rFonts w:eastAsia="Times New Roman" w:cs="Calibri"/>
          <w:b/>
          <w:sz w:val="24"/>
          <w:szCs w:val="24"/>
        </w:rPr>
      </w:pPr>
      <w:r w:rsidRPr="00462889">
        <w:rPr>
          <w:rFonts w:eastAsia="Times New Roman" w:cs="Calibri"/>
          <w:b/>
          <w:sz w:val="24"/>
          <w:szCs w:val="24"/>
        </w:rPr>
        <w:t>Farmacologia clinica</w:t>
      </w:r>
    </w:p>
    <w:p w14:paraId="614E4645" w14:textId="4963F7C2" w:rsidR="00BE7CDB" w:rsidRPr="00462889" w:rsidRDefault="004E5A39" w:rsidP="00BE7CDB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  <w:lang w:eastAsia="it-IT"/>
        </w:rPr>
        <w:t xml:space="preserve">La farmacologia clinica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C56FA9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  <w:lang w:eastAsia="it-IT"/>
        </w:rPr>
        <w:t>è ben conosciuta.</w:t>
      </w:r>
      <w:r w:rsidRPr="00462889">
        <w:rPr>
          <w:rFonts w:cs="Calibri"/>
          <w:sz w:val="24"/>
          <w:szCs w:val="24"/>
        </w:rPr>
        <w:t xml:space="preserve">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C56FA9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</w:rPr>
        <w:t>contiene principi attiv</w:t>
      </w:r>
      <w:r w:rsidR="00853EC6" w:rsidRPr="00462889">
        <w:rPr>
          <w:rFonts w:cs="Calibri"/>
          <w:sz w:val="24"/>
          <w:szCs w:val="24"/>
        </w:rPr>
        <w:t>i</w:t>
      </w:r>
      <w:r w:rsidRPr="00462889">
        <w:rPr>
          <w:rFonts w:cs="Calibri"/>
          <w:sz w:val="24"/>
          <w:szCs w:val="24"/>
        </w:rPr>
        <w:t xml:space="preserve"> not</w:t>
      </w:r>
      <w:r w:rsidR="00853EC6" w:rsidRPr="00462889">
        <w:rPr>
          <w:rFonts w:cs="Calibri"/>
          <w:sz w:val="24"/>
          <w:szCs w:val="24"/>
        </w:rPr>
        <w:t>i</w:t>
      </w:r>
      <w:r w:rsidRPr="00462889">
        <w:rPr>
          <w:rFonts w:cs="Calibri"/>
          <w:sz w:val="24"/>
          <w:szCs w:val="24"/>
        </w:rPr>
        <w:t xml:space="preserve"> </w:t>
      </w:r>
      <w:r w:rsidR="00745609" w:rsidRPr="00462889">
        <w:rPr>
          <w:rFonts w:cs="Calibri"/>
          <w:sz w:val="24"/>
          <w:szCs w:val="24"/>
        </w:rPr>
        <w:t xml:space="preserve">e </w:t>
      </w:r>
      <w:r w:rsidRPr="00462889">
        <w:rPr>
          <w:rFonts w:cs="Calibri"/>
          <w:sz w:val="24"/>
          <w:szCs w:val="24"/>
        </w:rPr>
        <w:t>present</w:t>
      </w:r>
      <w:r w:rsidR="00745609" w:rsidRPr="00462889">
        <w:rPr>
          <w:rFonts w:cs="Calibri"/>
          <w:sz w:val="24"/>
          <w:szCs w:val="24"/>
        </w:rPr>
        <w:t>i</w:t>
      </w:r>
      <w:r w:rsidRPr="00462889">
        <w:rPr>
          <w:rFonts w:cs="Calibri"/>
          <w:sz w:val="24"/>
          <w:szCs w:val="24"/>
        </w:rPr>
        <w:t xml:space="preserve"> nel medicinale </w:t>
      </w:r>
      <w:r w:rsidR="00BA0ACD" w:rsidRPr="00462889">
        <w:rPr>
          <w:rFonts w:cs="Calibri"/>
          <w:sz w:val="24"/>
          <w:szCs w:val="24"/>
        </w:rPr>
        <w:t>di riferimento</w:t>
      </w:r>
      <w:r w:rsidR="00D64AC7" w:rsidRPr="00462889">
        <w:rPr>
          <w:rFonts w:cs="Calibri"/>
          <w:sz w:val="24"/>
          <w:szCs w:val="24"/>
        </w:rPr>
        <w:t xml:space="preserve"> </w:t>
      </w:r>
      <w:r w:rsidR="0013341C" w:rsidRPr="00462889">
        <w:rPr>
          <w:rFonts w:cs="Calibri"/>
          <w:sz w:val="24"/>
          <w:szCs w:val="24"/>
        </w:rPr>
        <w:t xml:space="preserve">Briviact (in Italia Nubivreo) </w:t>
      </w:r>
      <w:r w:rsidRPr="00462889">
        <w:rPr>
          <w:rFonts w:cs="Calibri"/>
          <w:sz w:val="24"/>
          <w:szCs w:val="24"/>
        </w:rPr>
        <w:t xml:space="preserve">autorizzato in Italia da più di </w:t>
      </w:r>
      <w:r w:rsidR="00AD051C" w:rsidRPr="00462889">
        <w:rPr>
          <w:rFonts w:cs="Calibri"/>
          <w:sz w:val="24"/>
          <w:szCs w:val="24"/>
        </w:rPr>
        <w:t xml:space="preserve">8 </w:t>
      </w:r>
      <w:r w:rsidRPr="00462889">
        <w:rPr>
          <w:rFonts w:cs="Calibri"/>
          <w:sz w:val="24"/>
          <w:szCs w:val="24"/>
        </w:rPr>
        <w:t>anni</w:t>
      </w:r>
      <w:r w:rsidR="006315A4" w:rsidRPr="00462889">
        <w:rPr>
          <w:rFonts w:cs="Calibri"/>
          <w:sz w:val="24"/>
          <w:szCs w:val="24"/>
        </w:rPr>
        <w:t xml:space="preserve">. </w:t>
      </w:r>
      <w:r w:rsidR="00BE7CDB" w:rsidRPr="00462889">
        <w:rPr>
          <w:rFonts w:cs="Calibri"/>
          <w:sz w:val="24"/>
          <w:szCs w:val="24"/>
        </w:rPr>
        <w:t>Con l’eccezione dello studio di bioequivalenza, non sono stati condotti nuovi studi clinici di farmacodinamica e farmacocinetica</w:t>
      </w:r>
      <w:r w:rsidR="00AD051C" w:rsidRPr="00462889">
        <w:rPr>
          <w:rFonts w:cs="Calibri"/>
          <w:sz w:val="24"/>
          <w:szCs w:val="24"/>
        </w:rPr>
        <w:t>.</w:t>
      </w:r>
    </w:p>
    <w:p w14:paraId="12EAA4C1" w14:textId="77777777" w:rsidR="00AD051C" w:rsidRPr="00462889" w:rsidRDefault="00AD051C" w:rsidP="00BE7CDB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EBF31DD" w14:textId="77777777" w:rsidR="006727BD" w:rsidRPr="00462889" w:rsidRDefault="006727BD" w:rsidP="006727BD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Studio di bioequivalenza</w:t>
      </w:r>
    </w:p>
    <w:p w14:paraId="17E8DC81" w14:textId="21192B53" w:rsidR="005049A1" w:rsidRPr="00462889" w:rsidRDefault="005049A1" w:rsidP="005049A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La richiesta di AIC è supportata da uno studio di bioequivalenza che ha confrontato i profili farmacocinetici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783156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</w:rPr>
        <w:t>e quelli del medicinale di riferimento</w:t>
      </w:r>
      <w:r w:rsidR="00BC7D22" w:rsidRPr="00462889">
        <w:rPr>
          <w:rFonts w:cs="Calibri"/>
          <w:sz w:val="24"/>
          <w:szCs w:val="24"/>
        </w:rPr>
        <w:t xml:space="preserve"> </w:t>
      </w:r>
      <w:r w:rsidR="00BC7D22" w:rsidRPr="00462889">
        <w:rPr>
          <w:rFonts w:cs="Calibri"/>
          <w:bCs/>
          <w:sz w:val="24"/>
          <w:szCs w:val="24"/>
        </w:rPr>
        <w:t>Briviact (</w:t>
      </w:r>
      <w:r w:rsidR="00783156" w:rsidRPr="00462889">
        <w:rPr>
          <w:rFonts w:cs="Calibri"/>
          <w:bCs/>
          <w:sz w:val="24"/>
          <w:szCs w:val="24"/>
        </w:rPr>
        <w:t>i</w:t>
      </w:r>
      <w:r w:rsidR="00BC7D22" w:rsidRPr="00462889">
        <w:rPr>
          <w:rFonts w:cs="Calibri"/>
          <w:bCs/>
          <w:sz w:val="24"/>
          <w:szCs w:val="24"/>
        </w:rPr>
        <w:t xml:space="preserve">n </w:t>
      </w:r>
      <w:r w:rsidR="00783156" w:rsidRPr="00462889">
        <w:rPr>
          <w:rFonts w:cs="Calibri"/>
          <w:bCs/>
          <w:sz w:val="24"/>
          <w:szCs w:val="24"/>
        </w:rPr>
        <w:t>I</w:t>
      </w:r>
      <w:r w:rsidR="00BC7D22" w:rsidRPr="00462889">
        <w:rPr>
          <w:rFonts w:cs="Calibri"/>
          <w:bCs/>
          <w:sz w:val="24"/>
          <w:szCs w:val="24"/>
        </w:rPr>
        <w:t xml:space="preserve">talia Nubivreo) </w:t>
      </w:r>
      <w:r w:rsidR="00D64AC7" w:rsidRPr="00462889">
        <w:rPr>
          <w:rFonts w:cs="Calibri"/>
          <w:sz w:val="24"/>
          <w:szCs w:val="24"/>
        </w:rPr>
        <w:t>.</w:t>
      </w:r>
    </w:p>
    <w:p w14:paraId="0DD100E4" w14:textId="1B98DD1D" w:rsidR="005049A1" w:rsidRPr="00462889" w:rsidRDefault="005049A1" w:rsidP="005049A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lastRenderedPageBreak/>
        <w:t>Lo studio era caratterizzato da un appropriato disegno ed è stato condotto in accordo ai principi GCP.</w:t>
      </w:r>
      <w:r w:rsidR="00783156" w:rsidRPr="00462889">
        <w:rPr>
          <w:rFonts w:cs="Calibri"/>
          <w:sz w:val="24"/>
          <w:szCs w:val="24"/>
        </w:rPr>
        <w:t xml:space="preserve"> </w:t>
      </w:r>
      <w:r w:rsidRPr="00462889">
        <w:rPr>
          <w:rFonts w:cs="Calibri"/>
          <w:sz w:val="24"/>
          <w:szCs w:val="24"/>
        </w:rPr>
        <w:t>Sono stati forniti certificati analitici per medicinale test e medicinale di riferimento.</w:t>
      </w:r>
    </w:p>
    <w:p w14:paraId="2D45D6E4" w14:textId="77777777" w:rsidR="00783156" w:rsidRPr="00462889" w:rsidRDefault="00783156" w:rsidP="00783156">
      <w:pPr>
        <w:pStyle w:val="Paragrafoelenco"/>
        <w:spacing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Si tratta di uno studio randomizzato, in aperto, a dose singola, 2-periodi, 2 sequenze, 2 trattamenti, crossover condotto in 28 volontari sani maschi adulti con somministrazione a digiuno. </w:t>
      </w:r>
    </w:p>
    <w:p w14:paraId="6B51C12B" w14:textId="77777777" w:rsidR="00783156" w:rsidRPr="00462889" w:rsidRDefault="00783156" w:rsidP="00783156">
      <w:pPr>
        <w:pStyle w:val="Paragrafoelenco"/>
        <w:spacing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Dopo una notte di digiuno (10 ore), il medicinale è stato somministrato con acqua. Un soddisfacente periodo di wash-out di 5 giorni è stato previsto tra le somministrazioni in ogni gruppo.</w:t>
      </w:r>
    </w:p>
    <w:p w14:paraId="3A6C6E61" w14:textId="77777777" w:rsidR="00783156" w:rsidRPr="00462889" w:rsidRDefault="00783156" w:rsidP="00783156">
      <w:pPr>
        <w:pStyle w:val="Paragrafoelenco"/>
        <w:spacing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Campioni di sangue sono stati prelevati al tempo zero (pre-dose) e a specificati tempi fino a 36 ore dopo la somministrazione. I livelli plasmatici di brivaracetam sono stati determinati mediante un metodo analitico LC-MS/MS opportunamente convalidato.</w:t>
      </w:r>
    </w:p>
    <w:p w14:paraId="6CD35E78" w14:textId="551CD641" w:rsidR="00783156" w:rsidRPr="00462889" w:rsidRDefault="00783156" w:rsidP="00783156">
      <w:pPr>
        <w:pStyle w:val="Paragrafoelenco"/>
        <w:spacing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Per brivaracetam sono state definite le seguenti variabili farmacocinetiche: C</w:t>
      </w:r>
      <w:r w:rsidRPr="00462889">
        <w:rPr>
          <w:rFonts w:cs="Calibri"/>
          <w:sz w:val="24"/>
          <w:szCs w:val="24"/>
          <w:vertAlign w:val="subscript"/>
        </w:rPr>
        <w:t>max</w:t>
      </w:r>
      <w:r w:rsidRPr="00462889">
        <w:rPr>
          <w:rFonts w:cs="Calibri"/>
          <w:sz w:val="24"/>
          <w:szCs w:val="24"/>
        </w:rPr>
        <w:t>, AUC</w:t>
      </w:r>
      <w:r w:rsidRPr="00462889">
        <w:rPr>
          <w:rFonts w:cs="Calibri"/>
          <w:sz w:val="24"/>
          <w:szCs w:val="24"/>
          <w:vertAlign w:val="subscript"/>
        </w:rPr>
        <w:t>0-t</w:t>
      </w:r>
      <w:r w:rsidRPr="00462889">
        <w:rPr>
          <w:rFonts w:cs="Calibri"/>
          <w:sz w:val="24"/>
          <w:szCs w:val="24"/>
        </w:rPr>
        <w:t>, come parametri farmacocinetici primari e AUC</w:t>
      </w:r>
      <w:r w:rsidRPr="00462889">
        <w:rPr>
          <w:rFonts w:cs="Calibri"/>
          <w:sz w:val="24"/>
          <w:szCs w:val="24"/>
          <w:vertAlign w:val="subscript"/>
        </w:rPr>
        <w:t>inf</w:t>
      </w:r>
      <w:r w:rsidRPr="00462889">
        <w:rPr>
          <w:rFonts w:cs="Calibri"/>
          <w:sz w:val="24"/>
          <w:szCs w:val="24"/>
        </w:rPr>
        <w:t>, T</w:t>
      </w:r>
      <w:r w:rsidRPr="00462889">
        <w:rPr>
          <w:rFonts w:cs="Calibri"/>
          <w:sz w:val="24"/>
          <w:szCs w:val="24"/>
          <w:vertAlign w:val="subscript"/>
        </w:rPr>
        <w:t>max</w:t>
      </w:r>
      <w:r w:rsidRPr="00462889">
        <w:rPr>
          <w:rFonts w:cs="Calibri"/>
          <w:sz w:val="24"/>
          <w:szCs w:val="24"/>
        </w:rPr>
        <w:t>, t½ , Kel, T</w:t>
      </w:r>
      <w:r w:rsidRPr="00462889">
        <w:rPr>
          <w:rFonts w:cs="Calibri"/>
          <w:sz w:val="24"/>
          <w:szCs w:val="24"/>
          <w:vertAlign w:val="subscript"/>
        </w:rPr>
        <w:t>lag</w:t>
      </w:r>
      <w:r w:rsidRPr="00462889">
        <w:rPr>
          <w:rFonts w:cs="Calibri"/>
          <w:sz w:val="24"/>
          <w:szCs w:val="24"/>
        </w:rPr>
        <w:t>, Residual area e AUC</w:t>
      </w:r>
      <w:r w:rsidRPr="00462889">
        <w:rPr>
          <w:rFonts w:cs="Calibri"/>
          <w:sz w:val="24"/>
          <w:szCs w:val="24"/>
          <w:vertAlign w:val="subscript"/>
        </w:rPr>
        <w:t>0-t</w:t>
      </w:r>
      <w:r w:rsidRPr="00462889">
        <w:rPr>
          <w:rFonts w:cs="Calibri"/>
          <w:sz w:val="24"/>
          <w:szCs w:val="24"/>
        </w:rPr>
        <w:t>/ AUC</w:t>
      </w:r>
      <w:r w:rsidRPr="00462889">
        <w:rPr>
          <w:rFonts w:cs="Calibri"/>
          <w:sz w:val="24"/>
          <w:szCs w:val="24"/>
          <w:vertAlign w:val="subscript"/>
        </w:rPr>
        <w:t>inf</w:t>
      </w:r>
      <w:r w:rsidRPr="00462889">
        <w:rPr>
          <w:rFonts w:cs="Calibri"/>
          <w:sz w:val="24"/>
          <w:szCs w:val="24"/>
        </w:rPr>
        <w:t xml:space="preserve"> come parametri secondari. </w:t>
      </w:r>
    </w:p>
    <w:p w14:paraId="03DC1CA1" w14:textId="77777777" w:rsidR="00783156" w:rsidRPr="00462889" w:rsidRDefault="00783156" w:rsidP="00783156">
      <w:pPr>
        <w:pStyle w:val="Paragrafoelenco"/>
        <w:spacing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La bioequivalenza tra medicinale test e medicinale di riferimento è dimostrata se gli intervalli di confidenza al 90% per la trasformata logaritmica di C</w:t>
      </w:r>
      <w:r w:rsidRPr="00462889">
        <w:rPr>
          <w:rFonts w:cs="Calibri"/>
          <w:sz w:val="24"/>
          <w:szCs w:val="24"/>
          <w:vertAlign w:val="subscript"/>
        </w:rPr>
        <w:t>max</w:t>
      </w:r>
      <w:r w:rsidRPr="00462889">
        <w:rPr>
          <w:rFonts w:cs="Calibri"/>
          <w:sz w:val="24"/>
          <w:szCs w:val="24"/>
        </w:rPr>
        <w:t xml:space="preserve"> e AUC</w:t>
      </w:r>
      <w:r w:rsidRPr="00462889">
        <w:rPr>
          <w:rFonts w:cs="Calibri"/>
          <w:sz w:val="24"/>
          <w:szCs w:val="24"/>
          <w:vertAlign w:val="subscript"/>
        </w:rPr>
        <w:t xml:space="preserve">0-t, </w:t>
      </w:r>
      <w:r w:rsidRPr="00462889">
        <w:rPr>
          <w:rFonts w:cs="Calibri"/>
          <w:sz w:val="24"/>
          <w:szCs w:val="24"/>
        </w:rPr>
        <w:t>cadono nel range di accettabilità di 0.80-1.25 (80%-125%).</w:t>
      </w:r>
    </w:p>
    <w:p w14:paraId="2E4309DB" w14:textId="77777777" w:rsidR="00783156" w:rsidRPr="00462889" w:rsidRDefault="00783156" w:rsidP="00783156">
      <w:pPr>
        <w:pStyle w:val="Paragrafoelenco"/>
        <w:spacing w:line="240" w:lineRule="auto"/>
        <w:ind w:left="0"/>
        <w:rPr>
          <w:rFonts w:cs="Calibri"/>
          <w:sz w:val="24"/>
          <w:szCs w:val="24"/>
          <w:u w:val="single"/>
        </w:rPr>
      </w:pPr>
    </w:p>
    <w:p w14:paraId="5CDDE754" w14:textId="77777777" w:rsidR="00783156" w:rsidRPr="00462889" w:rsidRDefault="00783156" w:rsidP="00783156">
      <w:pPr>
        <w:pStyle w:val="Paragrafoelenco"/>
        <w:spacing w:line="240" w:lineRule="auto"/>
        <w:ind w:left="0"/>
        <w:rPr>
          <w:rFonts w:cs="Calibri"/>
          <w:sz w:val="24"/>
          <w:szCs w:val="24"/>
          <w:u w:val="single"/>
        </w:rPr>
      </w:pPr>
      <w:r w:rsidRPr="00462889">
        <w:rPr>
          <w:rFonts w:cs="Calibri"/>
          <w:sz w:val="24"/>
          <w:szCs w:val="24"/>
          <w:u w:val="single"/>
        </w:rPr>
        <w:t>Risultati</w:t>
      </w:r>
    </w:p>
    <w:p w14:paraId="57BDF800" w14:textId="77777777" w:rsidR="00783156" w:rsidRPr="00462889" w:rsidRDefault="00783156" w:rsidP="00783156">
      <w:pPr>
        <w:pStyle w:val="Paragrafoelenco"/>
        <w:spacing w:line="240" w:lineRule="auto"/>
        <w:ind w:left="0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28 volontari sani sono stati arruolati nello studio. </w:t>
      </w:r>
    </w:p>
    <w:p w14:paraId="2DDFFCEE" w14:textId="77777777" w:rsidR="00783156" w:rsidRPr="00462889" w:rsidRDefault="00783156" w:rsidP="00F80B39">
      <w:pPr>
        <w:pStyle w:val="Paragrafoelenco"/>
        <w:spacing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28 soggetti hanno completato la fase clinica e sono stati inclusi nell’analisi farmacocinetica.</w:t>
      </w:r>
    </w:p>
    <w:p w14:paraId="7208807A" w14:textId="77777777" w:rsidR="00783156" w:rsidRPr="00462889" w:rsidRDefault="00783156" w:rsidP="00783156">
      <w:pPr>
        <w:pStyle w:val="Paragrafoelenco"/>
        <w:spacing w:line="240" w:lineRule="auto"/>
        <w:ind w:left="0"/>
        <w:rPr>
          <w:rFonts w:cs="Calibri"/>
          <w:b/>
          <w:sz w:val="24"/>
          <w:szCs w:val="24"/>
        </w:rPr>
      </w:pPr>
    </w:p>
    <w:p w14:paraId="08C74AC7" w14:textId="1A52B578" w:rsidR="00783156" w:rsidRPr="00462889" w:rsidRDefault="00783156" w:rsidP="00783156">
      <w:pPr>
        <w:pStyle w:val="Paragrafoelenco"/>
        <w:spacing w:line="240" w:lineRule="auto"/>
        <w:ind w:left="0"/>
        <w:rPr>
          <w:rFonts w:cs="Calibri"/>
          <w:bCs/>
          <w:i/>
          <w:iCs/>
          <w:sz w:val="24"/>
          <w:szCs w:val="24"/>
        </w:rPr>
      </w:pPr>
      <w:r w:rsidRPr="00462889">
        <w:rPr>
          <w:rFonts w:cs="Calibri"/>
          <w:bCs/>
          <w:i/>
          <w:iCs/>
          <w:sz w:val="24"/>
          <w:szCs w:val="24"/>
        </w:rPr>
        <w:t>Sicurezza</w:t>
      </w:r>
    </w:p>
    <w:p w14:paraId="608C6512" w14:textId="273703D1" w:rsidR="00783156" w:rsidRPr="00462889" w:rsidRDefault="00783156" w:rsidP="00F80B39">
      <w:pPr>
        <w:pStyle w:val="Paragrafoelenco"/>
        <w:spacing w:line="240" w:lineRule="auto"/>
        <w:ind w:left="0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sz w:val="24"/>
          <w:szCs w:val="24"/>
        </w:rPr>
        <w:t>Nel corso dello studio non si sono manifestati eventi avversi correlati al trattamento.</w:t>
      </w:r>
    </w:p>
    <w:p w14:paraId="261BD47D" w14:textId="58968121" w:rsidR="005049A1" w:rsidRPr="00462889" w:rsidRDefault="005049A1" w:rsidP="005049A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14B398F4" w14:textId="77777777" w:rsidR="005049A1" w:rsidRPr="00462889" w:rsidRDefault="005049A1" w:rsidP="005049A1">
      <w:pPr>
        <w:pStyle w:val="Didascalia"/>
        <w:keepNext/>
        <w:spacing w:before="0" w:after="0"/>
        <w:jc w:val="both"/>
        <w:outlineLvl w:val="0"/>
        <w:rPr>
          <w:rFonts w:ascii="Calibri" w:hAnsi="Calibri" w:cs="Calibri"/>
          <w:b w:val="0"/>
          <w:szCs w:val="24"/>
          <w:lang w:val="it-IT"/>
        </w:rPr>
      </w:pPr>
      <w:r w:rsidRPr="00462889">
        <w:rPr>
          <w:rFonts w:ascii="Calibri" w:hAnsi="Calibri" w:cs="Calibri"/>
          <w:b w:val="0"/>
          <w:i/>
          <w:szCs w:val="24"/>
          <w:lang w:val="it-IT"/>
        </w:rPr>
        <w:t>Parametri farmacocinetici</w:t>
      </w:r>
      <w:r w:rsidRPr="00462889">
        <w:rPr>
          <w:rFonts w:ascii="Calibri" w:hAnsi="Calibri" w:cs="Calibri"/>
          <w:b w:val="0"/>
          <w:szCs w:val="24"/>
          <w:lang w:val="it-IT"/>
        </w:rPr>
        <w:t xml:space="preserve">. </w:t>
      </w:r>
    </w:p>
    <w:p w14:paraId="48FF7E70" w14:textId="77777777" w:rsidR="005049A1" w:rsidRPr="00462889" w:rsidRDefault="005049A1" w:rsidP="00F80B39">
      <w:pPr>
        <w:pStyle w:val="Didascalia"/>
        <w:keepNext/>
        <w:spacing w:before="0" w:after="0"/>
        <w:outlineLvl w:val="0"/>
        <w:rPr>
          <w:rFonts w:ascii="Calibri" w:hAnsi="Calibri" w:cs="Calibri"/>
          <w:b w:val="0"/>
          <w:szCs w:val="24"/>
          <w:lang w:val="it-IT"/>
        </w:rPr>
      </w:pPr>
      <w:r w:rsidRPr="00462889">
        <w:rPr>
          <w:rFonts w:ascii="Calibri" w:hAnsi="Calibri" w:cs="Calibri"/>
          <w:b w:val="0"/>
          <w:szCs w:val="24"/>
          <w:lang w:val="it-IT"/>
        </w:rPr>
        <w:t>La sintesi dei risultati dello studio di bioequivalenza è riportata nella tabella che segue.</w:t>
      </w:r>
    </w:p>
    <w:p w14:paraId="0CA27891" w14:textId="77777777" w:rsidR="00F44B8C" w:rsidRPr="00462889" w:rsidRDefault="00F44B8C" w:rsidP="00132B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2693"/>
        <w:gridCol w:w="2126"/>
      </w:tblGrid>
      <w:tr w:rsidR="00783156" w:rsidRPr="00462889" w14:paraId="27675DBE" w14:textId="77777777" w:rsidTr="002D2B9C">
        <w:tc>
          <w:tcPr>
            <w:tcW w:w="1701" w:type="dxa"/>
            <w:shd w:val="clear" w:color="auto" w:fill="C0C0C0"/>
          </w:tcPr>
          <w:p w14:paraId="7715F499" w14:textId="77777777" w:rsidR="00783156" w:rsidRPr="00462889" w:rsidRDefault="00783156" w:rsidP="00783156">
            <w:pPr>
              <w:spacing w:after="0" w:line="240" w:lineRule="auto"/>
              <w:rPr>
                <w:rFonts w:eastAsia="Times New Roman" w:cs="Calibri"/>
                <w:b/>
                <w:bCs/>
                <w:lang w:val="de-DE" w:eastAsia="fi-FI"/>
              </w:rPr>
            </w:pPr>
            <w:r w:rsidRPr="00462889">
              <w:rPr>
                <w:rFonts w:eastAsia="Times New Roman" w:cs="Calibri"/>
                <w:b/>
                <w:bCs/>
                <w:lang w:val="de-DE" w:eastAsia="fi-FI"/>
              </w:rPr>
              <w:t>Trattamento</w:t>
            </w:r>
          </w:p>
        </w:tc>
        <w:tc>
          <w:tcPr>
            <w:tcW w:w="2410" w:type="dxa"/>
            <w:shd w:val="clear" w:color="auto" w:fill="C0C0C0"/>
          </w:tcPr>
          <w:p w14:paraId="20558A4B" w14:textId="77777777" w:rsidR="00783156" w:rsidRPr="00462889" w:rsidRDefault="00783156" w:rsidP="00B248B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</w:pPr>
            <w:r w:rsidRPr="00462889">
              <w:rPr>
                <w:rFonts w:eastAsia="Times New Roman" w:cs="Calibri"/>
                <w:b/>
                <w:bCs/>
                <w:lang w:val="de-DE" w:eastAsia="fi-FI"/>
              </w:rPr>
              <w:t>AUC</w:t>
            </w:r>
            <w:r w:rsidRPr="00462889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0-t</w:t>
            </w:r>
          </w:p>
          <w:p w14:paraId="0CA72AB4" w14:textId="77777777" w:rsidR="00783156" w:rsidRPr="00462889" w:rsidRDefault="00783156" w:rsidP="00B248B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</w:pPr>
            <w:r w:rsidRPr="00462889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ng/ml/h</w:t>
            </w:r>
          </w:p>
          <w:p w14:paraId="041DEB80" w14:textId="77777777" w:rsidR="00783156" w:rsidRPr="00462889" w:rsidRDefault="00783156" w:rsidP="00B248B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de-DE" w:eastAsia="fi-FI"/>
              </w:rPr>
            </w:pPr>
          </w:p>
        </w:tc>
        <w:tc>
          <w:tcPr>
            <w:tcW w:w="2693" w:type="dxa"/>
            <w:shd w:val="clear" w:color="auto" w:fill="C0C0C0"/>
          </w:tcPr>
          <w:p w14:paraId="0AE03225" w14:textId="77777777" w:rsidR="00783156" w:rsidRPr="00462889" w:rsidRDefault="00783156" w:rsidP="00B248B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</w:pPr>
            <w:r w:rsidRPr="00462889">
              <w:rPr>
                <w:rFonts w:eastAsia="Times New Roman" w:cs="Calibri"/>
                <w:b/>
                <w:bCs/>
                <w:lang w:val="en-GB" w:eastAsia="fi-FI"/>
              </w:rPr>
              <w:t>C</w:t>
            </w:r>
            <w:r w:rsidRPr="00462889"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  <w:t>max</w:t>
            </w:r>
          </w:p>
          <w:p w14:paraId="55F06219" w14:textId="77777777" w:rsidR="00783156" w:rsidRPr="00462889" w:rsidRDefault="00783156" w:rsidP="00B248B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en-GB" w:eastAsia="fi-FI"/>
              </w:rPr>
            </w:pPr>
            <w:r w:rsidRPr="00462889">
              <w:rPr>
                <w:rFonts w:eastAsia="Times New Roman" w:cs="Calibri"/>
                <w:b/>
                <w:bCs/>
                <w:vertAlign w:val="subscript"/>
                <w:lang w:val="en-GB" w:eastAsia="fi-FI"/>
              </w:rPr>
              <w:t>ng/ml</w:t>
            </w:r>
          </w:p>
        </w:tc>
        <w:tc>
          <w:tcPr>
            <w:tcW w:w="2126" w:type="dxa"/>
            <w:shd w:val="clear" w:color="auto" w:fill="C0C0C0"/>
          </w:tcPr>
          <w:p w14:paraId="01F03CD1" w14:textId="77777777" w:rsidR="00783156" w:rsidRPr="00462889" w:rsidRDefault="00783156" w:rsidP="00B248B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</w:pPr>
            <w:r w:rsidRPr="00462889">
              <w:rPr>
                <w:rFonts w:eastAsia="Times New Roman" w:cs="Calibri"/>
                <w:b/>
                <w:bCs/>
                <w:lang w:val="de-DE" w:eastAsia="fi-FI"/>
              </w:rPr>
              <w:t>t</w:t>
            </w:r>
            <w:r w:rsidRPr="00462889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max</w:t>
            </w:r>
          </w:p>
          <w:p w14:paraId="7859C855" w14:textId="77777777" w:rsidR="00783156" w:rsidRPr="00462889" w:rsidRDefault="00783156" w:rsidP="00B248B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lang w:val="de-DE" w:eastAsia="fi-FI"/>
              </w:rPr>
            </w:pPr>
            <w:r w:rsidRPr="00462889">
              <w:rPr>
                <w:rFonts w:eastAsia="Times New Roman" w:cs="Calibri"/>
                <w:b/>
                <w:bCs/>
                <w:vertAlign w:val="subscript"/>
                <w:lang w:val="de-DE" w:eastAsia="fi-FI"/>
              </w:rPr>
              <w:t>h</w:t>
            </w:r>
          </w:p>
        </w:tc>
      </w:tr>
      <w:tr w:rsidR="00783156" w:rsidRPr="00462889" w14:paraId="412ADFE1" w14:textId="77777777" w:rsidTr="000438C4">
        <w:tc>
          <w:tcPr>
            <w:tcW w:w="1701" w:type="dxa"/>
          </w:tcPr>
          <w:p w14:paraId="43840BFA" w14:textId="77777777" w:rsidR="00783156" w:rsidRPr="00462889" w:rsidRDefault="00783156" w:rsidP="00B248B3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462889">
              <w:rPr>
                <w:rFonts w:eastAsia="Times New Roman" w:cs="Calibri"/>
                <w:b/>
                <w:bCs/>
                <w:lang w:val="en-GB" w:eastAsia="fi-FI"/>
              </w:rPr>
              <w:t>Test</w:t>
            </w:r>
          </w:p>
          <w:p w14:paraId="3BCC5A60" w14:textId="77777777" w:rsidR="00783156" w:rsidRPr="00462889" w:rsidRDefault="00783156" w:rsidP="00B248B3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2410" w:type="dxa"/>
          </w:tcPr>
          <w:p w14:paraId="44FF4036" w14:textId="77777777" w:rsidR="000438C4" w:rsidRPr="00462889" w:rsidRDefault="000438C4" w:rsidP="000438C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62889">
              <w:rPr>
                <w:rFonts w:ascii="Calibri" w:hAnsi="Calibri" w:cs="Calibri"/>
                <w:sz w:val="22"/>
                <w:szCs w:val="22"/>
              </w:rPr>
              <w:t>38861.54</w:t>
            </w:r>
          </w:p>
          <w:p w14:paraId="757B03ED" w14:textId="77777777" w:rsidR="00783156" w:rsidRPr="00462889" w:rsidRDefault="00783156" w:rsidP="000438C4">
            <w:pPr>
              <w:pStyle w:val="Default"/>
              <w:jc w:val="center"/>
              <w:rPr>
                <w:rFonts w:ascii="Calibri" w:hAnsi="Calibri" w:cs="Calibri"/>
                <w:lang w:val="en-GB" w:eastAsia="fi-FI"/>
              </w:rPr>
            </w:pPr>
          </w:p>
        </w:tc>
        <w:tc>
          <w:tcPr>
            <w:tcW w:w="2693" w:type="dxa"/>
          </w:tcPr>
          <w:p w14:paraId="0B529EE6" w14:textId="77777777" w:rsidR="00783156" w:rsidRPr="00462889" w:rsidRDefault="00783156" w:rsidP="00B248B3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62889">
              <w:rPr>
                <w:rFonts w:ascii="Calibri" w:hAnsi="Calibri" w:cs="Calibri"/>
                <w:sz w:val="22"/>
                <w:szCs w:val="22"/>
              </w:rPr>
              <w:t>3610.34</w:t>
            </w:r>
          </w:p>
          <w:p w14:paraId="7BA6A482" w14:textId="77777777" w:rsidR="00783156" w:rsidRPr="00462889" w:rsidRDefault="00783156" w:rsidP="00B248B3">
            <w:pPr>
              <w:pStyle w:val="Default"/>
              <w:jc w:val="center"/>
              <w:rPr>
                <w:rFonts w:ascii="Calibri" w:hAnsi="Calibri" w:cs="Calibri"/>
                <w:lang w:val="en-GB" w:eastAsia="fi-FI"/>
              </w:rPr>
            </w:pPr>
          </w:p>
        </w:tc>
        <w:tc>
          <w:tcPr>
            <w:tcW w:w="2126" w:type="dxa"/>
          </w:tcPr>
          <w:p w14:paraId="43020FF4" w14:textId="77777777" w:rsidR="00783156" w:rsidRPr="00462889" w:rsidRDefault="00783156" w:rsidP="00B248B3">
            <w:pPr>
              <w:jc w:val="center"/>
              <w:rPr>
                <w:rFonts w:cs="Calibri"/>
                <w:lang w:val="en-GB"/>
              </w:rPr>
            </w:pPr>
            <w:r w:rsidRPr="00462889">
              <w:rPr>
                <w:rFonts w:cs="Calibri"/>
                <w:lang w:val="en-GB"/>
              </w:rPr>
              <w:t>0.50 (0.25 - 1.75)</w:t>
            </w:r>
          </w:p>
        </w:tc>
      </w:tr>
      <w:tr w:rsidR="00783156" w:rsidRPr="00462889" w14:paraId="0542702F" w14:textId="77777777" w:rsidTr="000438C4">
        <w:tc>
          <w:tcPr>
            <w:tcW w:w="1701" w:type="dxa"/>
          </w:tcPr>
          <w:p w14:paraId="24DB8538" w14:textId="77777777" w:rsidR="00783156" w:rsidRPr="00462889" w:rsidRDefault="00783156" w:rsidP="00B248B3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462889">
              <w:rPr>
                <w:rFonts w:eastAsia="Times New Roman" w:cs="Calibri"/>
                <w:b/>
                <w:bCs/>
                <w:lang w:val="en-GB" w:eastAsia="fi-FI"/>
              </w:rPr>
              <w:t>Reference</w:t>
            </w:r>
          </w:p>
          <w:p w14:paraId="14927DF4" w14:textId="77777777" w:rsidR="00783156" w:rsidRPr="00462889" w:rsidRDefault="00783156" w:rsidP="00B248B3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2410" w:type="dxa"/>
          </w:tcPr>
          <w:p w14:paraId="52F6AD7D" w14:textId="77777777" w:rsidR="00783156" w:rsidRPr="00462889" w:rsidRDefault="00783156" w:rsidP="00B248B3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62889">
              <w:rPr>
                <w:rFonts w:ascii="Calibri" w:hAnsi="Calibri" w:cs="Calibri"/>
                <w:sz w:val="22"/>
                <w:szCs w:val="22"/>
              </w:rPr>
              <w:t>39394.31</w:t>
            </w:r>
          </w:p>
          <w:p w14:paraId="5C6A88EC" w14:textId="77777777" w:rsidR="00783156" w:rsidRPr="00462889" w:rsidRDefault="00783156" w:rsidP="00B248B3">
            <w:pPr>
              <w:pStyle w:val="Default"/>
              <w:jc w:val="center"/>
              <w:rPr>
                <w:rFonts w:ascii="Calibri" w:hAnsi="Calibri" w:cs="Calibri"/>
                <w:lang w:val="en-GB" w:eastAsia="fi-FI"/>
              </w:rPr>
            </w:pPr>
          </w:p>
        </w:tc>
        <w:tc>
          <w:tcPr>
            <w:tcW w:w="2693" w:type="dxa"/>
          </w:tcPr>
          <w:p w14:paraId="436603C9" w14:textId="77777777" w:rsidR="000438C4" w:rsidRPr="00462889" w:rsidRDefault="000438C4" w:rsidP="000438C4">
            <w:pPr>
              <w:pStyle w:val="Defaul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62889">
              <w:rPr>
                <w:rFonts w:ascii="Calibri" w:hAnsi="Calibri" w:cs="Calibri"/>
                <w:sz w:val="22"/>
                <w:szCs w:val="22"/>
              </w:rPr>
              <w:t>3559.92</w:t>
            </w:r>
          </w:p>
          <w:p w14:paraId="54759E33" w14:textId="77777777" w:rsidR="00783156" w:rsidRPr="00462889" w:rsidRDefault="00783156" w:rsidP="000438C4">
            <w:pPr>
              <w:pStyle w:val="Default"/>
              <w:jc w:val="center"/>
              <w:rPr>
                <w:rFonts w:ascii="Calibri" w:hAnsi="Calibri" w:cs="Calibri"/>
                <w:lang w:val="en-GB" w:eastAsia="fi-FI"/>
              </w:rPr>
            </w:pPr>
          </w:p>
        </w:tc>
        <w:tc>
          <w:tcPr>
            <w:tcW w:w="2126" w:type="dxa"/>
          </w:tcPr>
          <w:p w14:paraId="3F42EB1C" w14:textId="77777777" w:rsidR="00783156" w:rsidRPr="00462889" w:rsidRDefault="00783156" w:rsidP="00B248B3">
            <w:pPr>
              <w:jc w:val="center"/>
              <w:rPr>
                <w:rFonts w:cs="Calibri"/>
              </w:rPr>
            </w:pPr>
            <w:r w:rsidRPr="00462889">
              <w:rPr>
                <w:rFonts w:cs="Calibri"/>
              </w:rPr>
              <w:t>0.63 (0.25 - 2.33)</w:t>
            </w:r>
          </w:p>
        </w:tc>
      </w:tr>
      <w:tr w:rsidR="00783156" w:rsidRPr="00462889" w14:paraId="692F895C" w14:textId="77777777" w:rsidTr="000438C4">
        <w:tc>
          <w:tcPr>
            <w:tcW w:w="1701" w:type="dxa"/>
          </w:tcPr>
          <w:p w14:paraId="60D67AD6" w14:textId="77777777" w:rsidR="00783156" w:rsidRPr="00462889" w:rsidRDefault="00783156" w:rsidP="00B248B3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  <w:r w:rsidRPr="00462889">
              <w:rPr>
                <w:rFonts w:eastAsia="Times New Roman" w:cs="Calibri"/>
                <w:b/>
                <w:bCs/>
                <w:lang w:val="en-GB" w:eastAsia="fi-FI"/>
              </w:rPr>
              <w:t>*Ratio (90% CI)</w:t>
            </w:r>
          </w:p>
          <w:p w14:paraId="1F3353B0" w14:textId="77777777" w:rsidR="00783156" w:rsidRPr="00462889" w:rsidRDefault="00783156" w:rsidP="00B248B3">
            <w:pPr>
              <w:spacing w:after="0" w:line="240" w:lineRule="auto"/>
              <w:rPr>
                <w:rFonts w:eastAsia="Times New Roman" w:cs="Calibri"/>
                <w:b/>
                <w:bCs/>
                <w:lang w:val="en-GB" w:eastAsia="fi-FI"/>
              </w:rPr>
            </w:pPr>
          </w:p>
        </w:tc>
        <w:tc>
          <w:tcPr>
            <w:tcW w:w="2410" w:type="dxa"/>
          </w:tcPr>
          <w:p w14:paraId="0F1E48A7" w14:textId="77777777" w:rsidR="00783156" w:rsidRPr="00462889" w:rsidRDefault="00783156" w:rsidP="00B248B3">
            <w:pPr>
              <w:jc w:val="center"/>
              <w:rPr>
                <w:rFonts w:cs="Calibri"/>
              </w:rPr>
            </w:pPr>
            <w:r w:rsidRPr="00462889">
              <w:rPr>
                <w:rFonts w:cs="Calibri"/>
              </w:rPr>
              <w:t>98.65</w:t>
            </w:r>
          </w:p>
          <w:p w14:paraId="17D5ED9C" w14:textId="77777777" w:rsidR="00783156" w:rsidRPr="00462889" w:rsidRDefault="00783156" w:rsidP="00B248B3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462889">
              <w:rPr>
                <w:rFonts w:cs="Calibri"/>
                <w:lang w:val="en-GB"/>
              </w:rPr>
              <w:t>97.37 - 99.94</w:t>
            </w:r>
          </w:p>
        </w:tc>
        <w:tc>
          <w:tcPr>
            <w:tcW w:w="2693" w:type="dxa"/>
          </w:tcPr>
          <w:p w14:paraId="05094355" w14:textId="77777777" w:rsidR="00783156" w:rsidRPr="00462889" w:rsidRDefault="00783156" w:rsidP="00B248B3">
            <w:pPr>
              <w:jc w:val="center"/>
              <w:rPr>
                <w:rFonts w:cs="Calibri"/>
              </w:rPr>
            </w:pPr>
            <w:r w:rsidRPr="00462889">
              <w:rPr>
                <w:rFonts w:cs="Calibri"/>
              </w:rPr>
              <w:t>101.42</w:t>
            </w:r>
          </w:p>
          <w:p w14:paraId="4F68B632" w14:textId="77777777" w:rsidR="00783156" w:rsidRPr="00462889" w:rsidRDefault="00783156" w:rsidP="00B248B3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  <w:r w:rsidRPr="00462889">
              <w:rPr>
                <w:rFonts w:cs="Calibri"/>
              </w:rPr>
              <w:t>95.24 - 107.99</w:t>
            </w:r>
          </w:p>
        </w:tc>
        <w:tc>
          <w:tcPr>
            <w:tcW w:w="2126" w:type="dxa"/>
          </w:tcPr>
          <w:p w14:paraId="7F227D58" w14:textId="77777777" w:rsidR="00783156" w:rsidRPr="00462889" w:rsidRDefault="00783156" w:rsidP="00B248B3">
            <w:pPr>
              <w:spacing w:after="0" w:line="240" w:lineRule="auto"/>
              <w:jc w:val="center"/>
              <w:rPr>
                <w:rFonts w:eastAsia="Times New Roman" w:cs="Calibri"/>
                <w:lang w:val="en-GB" w:eastAsia="fi-FI"/>
              </w:rPr>
            </w:pPr>
          </w:p>
        </w:tc>
      </w:tr>
      <w:tr w:rsidR="00783156" w:rsidRPr="00462889" w14:paraId="0BBF8CC4" w14:textId="77777777" w:rsidTr="000438C4">
        <w:tc>
          <w:tcPr>
            <w:tcW w:w="8930" w:type="dxa"/>
            <w:gridSpan w:val="4"/>
          </w:tcPr>
          <w:p w14:paraId="5FB579F1" w14:textId="77777777" w:rsidR="00783156" w:rsidRPr="00462889" w:rsidRDefault="00783156" w:rsidP="00B248B3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16"/>
              </w:rPr>
            </w:pPr>
            <w:r w:rsidRPr="00462889">
              <w:rPr>
                <w:rFonts w:cs="Calibri"/>
                <w:b/>
                <w:bCs/>
                <w:sz w:val="16"/>
                <w:szCs w:val="16"/>
              </w:rPr>
              <w:t>AUC</w:t>
            </w:r>
            <w:r w:rsidRPr="00462889">
              <w:rPr>
                <w:rFonts w:cs="Calibri"/>
                <w:b/>
                <w:bCs/>
                <w:sz w:val="16"/>
                <w:szCs w:val="16"/>
                <w:vertAlign w:val="subscript"/>
              </w:rPr>
              <w:t>0-t</w:t>
            </w:r>
            <w:r w:rsidRPr="00462889">
              <w:rPr>
                <w:rFonts w:cs="Calibri"/>
                <w:b/>
                <w:sz w:val="16"/>
                <w:szCs w:val="16"/>
                <w:vertAlign w:val="subscript"/>
              </w:rPr>
              <w:t xml:space="preserve"> </w:t>
            </w:r>
            <w:r w:rsidRPr="00462889">
              <w:rPr>
                <w:rFonts w:cs="Calibri"/>
                <w:b/>
                <w:sz w:val="16"/>
                <w:szCs w:val="16"/>
                <w:vertAlign w:val="subscript"/>
              </w:rPr>
              <w:tab/>
            </w:r>
            <w:r w:rsidRPr="00462889">
              <w:rPr>
                <w:rFonts w:cs="Calibri"/>
                <w:sz w:val="16"/>
                <w:szCs w:val="16"/>
              </w:rPr>
              <w:t>Area sotto la curva dal tempo zero al tempo t</w:t>
            </w:r>
          </w:p>
          <w:p w14:paraId="5014057D" w14:textId="77777777" w:rsidR="00783156" w:rsidRPr="00462889" w:rsidRDefault="00783156" w:rsidP="00B248B3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6"/>
                <w:szCs w:val="16"/>
              </w:rPr>
            </w:pPr>
            <w:r w:rsidRPr="00462889">
              <w:rPr>
                <w:rFonts w:cs="Calibri"/>
                <w:b/>
                <w:bCs/>
                <w:sz w:val="16"/>
                <w:szCs w:val="16"/>
              </w:rPr>
              <w:t>C</w:t>
            </w:r>
            <w:r w:rsidRPr="00462889">
              <w:rPr>
                <w:rFonts w:cs="Calibri"/>
                <w:b/>
                <w:bCs/>
                <w:sz w:val="16"/>
                <w:szCs w:val="16"/>
                <w:vertAlign w:val="subscript"/>
              </w:rPr>
              <w:t>max</w:t>
            </w:r>
            <w:r w:rsidRPr="00462889">
              <w:rPr>
                <w:rFonts w:cs="Calibri"/>
                <w:b/>
                <w:bCs/>
                <w:sz w:val="16"/>
                <w:szCs w:val="16"/>
              </w:rPr>
              <w:t xml:space="preserve"> </w:t>
            </w:r>
            <w:r w:rsidRPr="00462889">
              <w:rPr>
                <w:rFonts w:cs="Calibri"/>
                <w:b/>
                <w:sz w:val="16"/>
                <w:szCs w:val="16"/>
              </w:rPr>
              <w:tab/>
            </w:r>
            <w:r w:rsidRPr="00462889">
              <w:rPr>
                <w:rFonts w:cs="Calibri"/>
                <w:sz w:val="16"/>
                <w:szCs w:val="16"/>
              </w:rPr>
              <w:t>Concentrazione plasmatica massima</w:t>
            </w:r>
            <w:r w:rsidRPr="00462889">
              <w:rPr>
                <w:rFonts w:cs="Calibri"/>
                <w:b/>
                <w:sz w:val="16"/>
                <w:szCs w:val="16"/>
              </w:rPr>
              <w:t xml:space="preserve"> </w:t>
            </w:r>
          </w:p>
          <w:p w14:paraId="2B237EAD" w14:textId="77777777" w:rsidR="00783156" w:rsidRPr="00462889" w:rsidRDefault="00783156" w:rsidP="00B248B3">
            <w:pPr>
              <w:tabs>
                <w:tab w:val="center" w:pos="4429"/>
              </w:tabs>
              <w:spacing w:after="0" w:line="240" w:lineRule="auto"/>
              <w:rPr>
                <w:rFonts w:eastAsia="Times New Roman" w:cs="Calibri"/>
                <w:lang w:eastAsia="fi-FI"/>
              </w:rPr>
            </w:pPr>
            <w:r w:rsidRPr="00462889">
              <w:rPr>
                <w:rFonts w:eastAsia="Times New Roman" w:cs="Calibri"/>
                <w:b/>
                <w:bCs/>
                <w:sz w:val="16"/>
                <w:szCs w:val="16"/>
                <w:lang w:eastAsia="fi-FI"/>
              </w:rPr>
              <w:t>t</w:t>
            </w:r>
            <w:r w:rsidRPr="00462889">
              <w:rPr>
                <w:rFonts w:eastAsia="Times New Roman" w:cs="Calibri"/>
                <w:b/>
                <w:bCs/>
                <w:sz w:val="16"/>
                <w:szCs w:val="16"/>
                <w:vertAlign w:val="subscript"/>
                <w:lang w:eastAsia="fi-FI"/>
              </w:rPr>
              <w:t>max</w:t>
            </w:r>
            <w:r w:rsidRPr="00462889">
              <w:rPr>
                <w:rFonts w:eastAsia="Times New Roman" w:cs="Calibri"/>
                <w:b/>
                <w:bCs/>
                <w:sz w:val="16"/>
                <w:szCs w:val="16"/>
                <w:lang w:eastAsia="fi-FI"/>
              </w:rPr>
              <w:t xml:space="preserve">            </w:t>
            </w:r>
            <w:r w:rsidRPr="00462889">
              <w:rPr>
                <w:rFonts w:eastAsia="Times New Roman" w:cs="Calibri"/>
                <w:sz w:val="16"/>
                <w:szCs w:val="16"/>
              </w:rPr>
              <w:t>Tempo al picco di concentrazione plasmatica</w:t>
            </w:r>
          </w:p>
        </w:tc>
      </w:tr>
    </w:tbl>
    <w:p w14:paraId="12B3A247" w14:textId="77777777" w:rsidR="00F44B8C" w:rsidRPr="00462889" w:rsidRDefault="00F44B8C" w:rsidP="00132B98"/>
    <w:p w14:paraId="10654833" w14:textId="77777777" w:rsidR="005049A1" w:rsidRPr="00462889" w:rsidRDefault="005049A1" w:rsidP="005049A1">
      <w:pPr>
        <w:spacing w:after="0" w:line="240" w:lineRule="auto"/>
        <w:rPr>
          <w:rFonts w:cs="Calibri"/>
          <w:sz w:val="24"/>
          <w:szCs w:val="24"/>
        </w:rPr>
      </w:pPr>
      <w:r w:rsidRPr="00462889">
        <w:rPr>
          <w:rFonts w:cs="Calibri"/>
          <w:i/>
          <w:sz w:val="24"/>
          <w:szCs w:val="24"/>
        </w:rPr>
        <w:t>Conclusioni sulla bioequivalenza</w:t>
      </w:r>
      <w:r w:rsidRPr="00462889">
        <w:rPr>
          <w:rFonts w:cs="Calibri"/>
          <w:sz w:val="24"/>
          <w:szCs w:val="24"/>
        </w:rPr>
        <w:t>.</w:t>
      </w:r>
    </w:p>
    <w:p w14:paraId="188F8E2B" w14:textId="77777777" w:rsidR="005049A1" w:rsidRPr="00462889" w:rsidRDefault="005049A1" w:rsidP="005049A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I risultati degli studi di bioequivalenza mostrano che gli intervalli di confidenza dei parametri farmacocinetici studiati cadono nel range di accettabilità di 80-125%, in accordo con le linee guida correnti.</w:t>
      </w:r>
    </w:p>
    <w:p w14:paraId="6925B9F1" w14:textId="5EEDD131" w:rsidR="004631F3" w:rsidRPr="00462889" w:rsidRDefault="004631F3" w:rsidP="004631F3">
      <w:pPr>
        <w:spacing w:after="0" w:line="240" w:lineRule="auto"/>
        <w:jc w:val="both"/>
        <w:rPr>
          <w:rFonts w:eastAsia="Times New Roman"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sz w:val="24"/>
          <w:szCs w:val="24"/>
        </w:rPr>
        <w:t xml:space="preserve">I risultati dello studio di bioequivalenza </w:t>
      </w:r>
      <w:r w:rsidR="00783156" w:rsidRPr="00462889">
        <w:rPr>
          <w:rFonts w:cs="Calibri"/>
          <w:sz w:val="24"/>
          <w:szCs w:val="24"/>
        </w:rPr>
        <w:t>P-62222</w:t>
      </w:r>
      <w:r w:rsidR="00783156" w:rsidRPr="00462889">
        <w:rPr>
          <w:rFonts w:cs="Calibri"/>
        </w:rPr>
        <w:t xml:space="preserve"> </w:t>
      </w:r>
      <w:r w:rsidRPr="00462889">
        <w:rPr>
          <w:rFonts w:cs="Calibri"/>
          <w:sz w:val="24"/>
          <w:szCs w:val="24"/>
        </w:rPr>
        <w:t xml:space="preserve">condotto con il dosaggio da </w:t>
      </w:r>
      <w:r w:rsidR="00783156" w:rsidRPr="00462889">
        <w:rPr>
          <w:rFonts w:cs="Calibri"/>
          <w:sz w:val="24"/>
          <w:szCs w:val="24"/>
        </w:rPr>
        <w:t xml:space="preserve">100 </w:t>
      </w:r>
      <w:r w:rsidRPr="00462889">
        <w:rPr>
          <w:rFonts w:cs="Calibri"/>
          <w:sz w:val="24"/>
          <w:szCs w:val="24"/>
        </w:rPr>
        <w:t>mg p</w:t>
      </w:r>
      <w:r w:rsidR="00B721F9">
        <w:rPr>
          <w:rFonts w:cs="Calibri"/>
          <w:sz w:val="24"/>
          <w:szCs w:val="24"/>
        </w:rPr>
        <w:t>ossono</w:t>
      </w:r>
      <w:r w:rsidRPr="00462889">
        <w:rPr>
          <w:rFonts w:cs="Calibri"/>
          <w:sz w:val="24"/>
          <w:szCs w:val="24"/>
        </w:rPr>
        <w:t xml:space="preserve"> essere estrapolat</w:t>
      </w:r>
      <w:r w:rsidR="00B721F9">
        <w:rPr>
          <w:rFonts w:cs="Calibri"/>
          <w:sz w:val="24"/>
          <w:szCs w:val="24"/>
        </w:rPr>
        <w:t>i</w:t>
      </w:r>
      <w:r w:rsidRPr="00462889">
        <w:rPr>
          <w:rFonts w:cs="Calibri"/>
          <w:sz w:val="24"/>
          <w:szCs w:val="24"/>
        </w:rPr>
        <w:t xml:space="preserve"> agli altri dosaggi da </w:t>
      </w:r>
      <w:r w:rsidR="00783156" w:rsidRPr="00462889">
        <w:rPr>
          <w:rFonts w:cs="Calibri"/>
          <w:sz w:val="24"/>
          <w:szCs w:val="24"/>
        </w:rPr>
        <w:t>10 mg, 25 mg, 50 mg e 75 mg</w:t>
      </w:r>
      <w:r w:rsidR="00FB7AFB" w:rsidRPr="00462889">
        <w:rPr>
          <w:rFonts w:cs="Calibri"/>
          <w:sz w:val="24"/>
          <w:szCs w:val="24"/>
        </w:rPr>
        <w:t xml:space="preserve">, </w:t>
      </w:r>
      <w:r w:rsidR="00F76F77" w:rsidRPr="00462889">
        <w:rPr>
          <w:rFonts w:eastAsia="Times New Roman" w:cs="Calibri"/>
          <w:bCs/>
          <w:color w:val="000000"/>
          <w:sz w:val="24"/>
          <w:szCs w:val="24"/>
          <w:lang w:eastAsia="it-IT"/>
        </w:rPr>
        <w:t xml:space="preserve">in quanto sono stati soddisfatti i requisiti </w:t>
      </w:r>
      <w:r w:rsidR="00F76F77" w:rsidRPr="00462889">
        <w:rPr>
          <w:rFonts w:eastAsia="Times New Roman" w:cs="Calibri"/>
          <w:bCs/>
          <w:color w:val="000000"/>
          <w:sz w:val="24"/>
          <w:szCs w:val="24"/>
          <w:lang w:eastAsia="it-IT"/>
        </w:rPr>
        <w:lastRenderedPageBreak/>
        <w:t xml:space="preserve">per la concessione del waiver di cui al paragrafo 4.1.6 della linea guida </w:t>
      </w:r>
      <w:r w:rsidR="00F76F77" w:rsidRPr="00462889">
        <w:rPr>
          <w:rFonts w:cs="Calibri"/>
          <w:sz w:val="24"/>
          <w:szCs w:val="24"/>
        </w:rPr>
        <w:t xml:space="preserve">Guideline on the Investigation of Bioequivalence </w:t>
      </w:r>
      <w:r w:rsidR="00F76F77" w:rsidRPr="00462889">
        <w:rPr>
          <w:rFonts w:eastAsia="Times New Roman" w:cs="Calibri"/>
          <w:bCs/>
          <w:color w:val="000000"/>
          <w:sz w:val="24"/>
          <w:szCs w:val="24"/>
          <w:lang w:eastAsia="it-IT"/>
        </w:rPr>
        <w:t>CPMP/EWP/QWP/98 rev.1/Corr**</w:t>
      </w:r>
      <w:r w:rsidR="00D7622F">
        <w:rPr>
          <w:rFonts w:eastAsia="Times New Roman" w:cs="Calibri"/>
          <w:bCs/>
          <w:color w:val="000000"/>
          <w:sz w:val="24"/>
          <w:szCs w:val="24"/>
          <w:lang w:eastAsia="it-IT"/>
        </w:rPr>
        <w:t>.</w:t>
      </w:r>
    </w:p>
    <w:p w14:paraId="675B3754" w14:textId="797E1901" w:rsidR="00AD051C" w:rsidRPr="00462889" w:rsidRDefault="00AD051C" w:rsidP="00AD051C">
      <w:pPr>
        <w:spacing w:after="0" w:line="240" w:lineRule="auto"/>
        <w:ind w:right="6"/>
        <w:jc w:val="both"/>
        <w:rPr>
          <w:rFonts w:cs="Calibri"/>
          <w:b/>
          <w:i/>
          <w:sz w:val="24"/>
          <w:szCs w:val="24"/>
          <w:lang w:eastAsia="it-IT"/>
        </w:rPr>
      </w:pPr>
    </w:p>
    <w:p w14:paraId="5BA7A5EC" w14:textId="77777777" w:rsidR="004631F3" w:rsidRPr="00462889" w:rsidRDefault="004631F3" w:rsidP="005049A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9953490" w14:textId="77777777" w:rsidR="005049A1" w:rsidRPr="00462889" w:rsidRDefault="005049A1" w:rsidP="005049A1">
      <w:p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Efficacia e sicurezza clinica</w:t>
      </w:r>
    </w:p>
    <w:p w14:paraId="4B951DCC" w14:textId="138C675D" w:rsidR="005049A1" w:rsidRPr="00462889" w:rsidRDefault="00FB7AFB" w:rsidP="005049A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bCs/>
          <w:iCs/>
          <w:sz w:val="24"/>
          <w:szCs w:val="24"/>
        </w:rPr>
        <w:t xml:space="preserve">Non sono stati </w:t>
      </w:r>
      <w:r w:rsidR="005049A1" w:rsidRPr="00462889">
        <w:rPr>
          <w:rFonts w:cs="Calibri"/>
          <w:bCs/>
          <w:iCs/>
          <w:sz w:val="24"/>
          <w:szCs w:val="24"/>
        </w:rPr>
        <w:t>presentati</w:t>
      </w:r>
      <w:r w:rsidR="005049A1" w:rsidRPr="00462889">
        <w:rPr>
          <w:rFonts w:cs="Calibri"/>
          <w:sz w:val="24"/>
          <w:szCs w:val="24"/>
        </w:rPr>
        <w:t xml:space="preserve"> nuovi dati di efficacia e sicurezza clinica: il profilo di sicur</w:t>
      </w:r>
      <w:r w:rsidR="00F90F1F" w:rsidRPr="00462889">
        <w:rPr>
          <w:rFonts w:cs="Calibri"/>
          <w:sz w:val="24"/>
          <w:szCs w:val="24"/>
        </w:rPr>
        <w:t>ezza e l’efficacia del principi</w:t>
      </w:r>
      <w:r w:rsidRPr="00462889">
        <w:rPr>
          <w:rFonts w:cs="Calibri"/>
          <w:sz w:val="24"/>
          <w:szCs w:val="24"/>
        </w:rPr>
        <w:t>o</w:t>
      </w:r>
      <w:r w:rsidR="005049A1" w:rsidRPr="00462889">
        <w:rPr>
          <w:rFonts w:cs="Calibri"/>
          <w:sz w:val="24"/>
          <w:szCs w:val="24"/>
        </w:rPr>
        <w:t xml:space="preserve"> attiv</w:t>
      </w:r>
      <w:r w:rsidR="004D3B32" w:rsidRPr="00462889">
        <w:rPr>
          <w:rFonts w:cs="Calibri"/>
          <w:sz w:val="24"/>
          <w:szCs w:val="24"/>
        </w:rPr>
        <w:t>o</w:t>
      </w:r>
      <w:r w:rsidR="005049A1" w:rsidRPr="00462889">
        <w:rPr>
          <w:rFonts w:cs="Calibri"/>
          <w:sz w:val="24"/>
          <w:szCs w:val="24"/>
        </w:rPr>
        <w:t xml:space="preserve">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C56FA9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="005049A1" w:rsidRPr="00462889">
        <w:rPr>
          <w:rFonts w:cs="Calibri"/>
          <w:sz w:val="24"/>
          <w:szCs w:val="24"/>
        </w:rPr>
        <w:t xml:space="preserve">è ben conosciuto. </w:t>
      </w:r>
    </w:p>
    <w:p w14:paraId="34FED798" w14:textId="77777777" w:rsidR="004B5B15" w:rsidRPr="00462889" w:rsidRDefault="004B5B15" w:rsidP="004B5B15">
      <w:pPr>
        <w:spacing w:after="0" w:line="240" w:lineRule="auto"/>
        <w:jc w:val="both"/>
        <w:rPr>
          <w:rFonts w:cs="Calibri"/>
          <w:b/>
          <w:i/>
          <w:sz w:val="24"/>
          <w:szCs w:val="24"/>
          <w:lang w:eastAsia="it-IT"/>
        </w:rPr>
      </w:pPr>
    </w:p>
    <w:p w14:paraId="0264322C" w14:textId="77777777" w:rsidR="00D64AC7" w:rsidRPr="00462889" w:rsidRDefault="00D64AC7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6ADE321" w14:textId="77777777" w:rsidR="004E5A39" w:rsidRPr="00462889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Piano di Valutazione del Rischio (</w:t>
      </w:r>
      <w:r w:rsidRPr="00462889">
        <w:rPr>
          <w:rFonts w:cs="Calibri"/>
          <w:b/>
          <w:i/>
          <w:sz w:val="24"/>
          <w:szCs w:val="24"/>
        </w:rPr>
        <w:t>Risk Management Plan</w:t>
      </w:r>
      <w:r w:rsidRPr="00462889">
        <w:rPr>
          <w:rFonts w:cs="Calibri"/>
          <w:b/>
          <w:sz w:val="24"/>
          <w:szCs w:val="24"/>
        </w:rPr>
        <w:t xml:space="preserve"> - RMP)</w:t>
      </w:r>
    </w:p>
    <w:p w14:paraId="27EF1CB1" w14:textId="113AD6A5" w:rsidR="004E5A39" w:rsidRPr="00462889" w:rsidRDefault="004E5A39" w:rsidP="00A31CC1">
      <w:pPr>
        <w:pStyle w:val="Paragrafoelenco"/>
        <w:spacing w:after="0"/>
        <w:ind w:left="0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 xml:space="preserve">E’ stato presentato un RMP in accordo a quanto previsto dalla Direttiva 2001/83/EU s.m.i. che descrive le attività di farmacovigilanza e gli interventi definiti al fine di identificare, caratterizzare, prevenire o minimizzare i rischi collegati all’uso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color w:val="000000"/>
          <w:sz w:val="24"/>
          <w:szCs w:val="24"/>
          <w:lang w:eastAsia="it-IT"/>
        </w:rPr>
        <w:t>.</w:t>
      </w:r>
    </w:p>
    <w:p w14:paraId="1B2C7284" w14:textId="77777777" w:rsidR="00265B61" w:rsidRPr="00462889" w:rsidRDefault="00265B61" w:rsidP="00A31CC1">
      <w:pPr>
        <w:pStyle w:val="Paragrafoelenco"/>
        <w:spacing w:after="0"/>
        <w:ind w:left="0"/>
        <w:jc w:val="both"/>
        <w:rPr>
          <w:rFonts w:cs="Calibri"/>
          <w:color w:val="000000"/>
          <w:sz w:val="24"/>
          <w:szCs w:val="24"/>
          <w:lang w:eastAsia="it-IT"/>
        </w:rPr>
      </w:pPr>
      <w:r w:rsidRPr="00462889">
        <w:rPr>
          <w:rFonts w:cs="Calibri"/>
          <w:color w:val="000000"/>
          <w:sz w:val="24"/>
          <w:szCs w:val="24"/>
          <w:lang w:eastAsia="it-IT"/>
        </w:rPr>
        <w:t>Il riassunto delle problematiche di sicurezza è riportato nella tabella seguente.</w:t>
      </w:r>
    </w:p>
    <w:p w14:paraId="1331FEFC" w14:textId="77777777" w:rsidR="00265B61" w:rsidRPr="00462889" w:rsidRDefault="00265B61" w:rsidP="00265B6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tbl>
      <w:tblPr>
        <w:tblW w:w="4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5E0" w:firstRow="1" w:lastRow="1" w:firstColumn="1" w:lastColumn="1" w:noHBand="0" w:noVBand="1"/>
      </w:tblPr>
      <w:tblGrid>
        <w:gridCol w:w="2732"/>
        <w:gridCol w:w="6024"/>
      </w:tblGrid>
      <w:tr w:rsidR="00265B61" w:rsidRPr="00462889" w14:paraId="57B57BE4" w14:textId="77777777" w:rsidTr="0042214D">
        <w:trPr>
          <w:jc w:val="center"/>
        </w:trPr>
        <w:tc>
          <w:tcPr>
            <w:tcW w:w="1560" w:type="pct"/>
          </w:tcPr>
          <w:p w14:paraId="000FB289" w14:textId="77777777" w:rsidR="00265B61" w:rsidRPr="00462889" w:rsidRDefault="00265B61" w:rsidP="0042214D">
            <w:pPr>
              <w:pStyle w:val="TabletextrowsAgency"/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  <w:lang w:val="it-IT" w:eastAsia="en-GB"/>
              </w:rPr>
            </w:pPr>
            <w:r w:rsidRPr="00462889">
              <w:rPr>
                <w:rFonts w:ascii="Calibri" w:hAnsi="Calibri" w:cs="Calibri"/>
                <w:sz w:val="22"/>
                <w:szCs w:val="22"/>
                <w:lang w:val="it-IT" w:eastAsia="en-GB"/>
              </w:rPr>
              <w:t>Rischi importanti identificati</w:t>
            </w:r>
          </w:p>
        </w:tc>
        <w:tc>
          <w:tcPr>
            <w:tcW w:w="3440" w:type="pct"/>
          </w:tcPr>
          <w:p w14:paraId="7540F2F4" w14:textId="1D6F7B9D" w:rsidR="00265B61" w:rsidRPr="00462889" w:rsidRDefault="0074057E" w:rsidP="002D2B9C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ind w:left="280" w:hanging="280"/>
              <w:rPr>
                <w:rFonts w:cs="Calibri"/>
                <w:sz w:val="24"/>
                <w:szCs w:val="24"/>
              </w:rPr>
            </w:pPr>
            <w:r w:rsidRPr="00462889">
              <w:rPr>
                <w:rFonts w:cs="Calibri"/>
                <w:sz w:val="24"/>
                <w:szCs w:val="24"/>
              </w:rPr>
              <w:t>Ideazione e comportamento suicidari (avvertenza di classe per i medicinali anticonvulsivanti)</w:t>
            </w:r>
          </w:p>
        </w:tc>
      </w:tr>
      <w:tr w:rsidR="00265B61" w:rsidRPr="00462889" w14:paraId="373B76A6" w14:textId="77777777" w:rsidTr="0042214D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5ECE0A" w14:textId="77777777" w:rsidR="00265B61" w:rsidRPr="00462889" w:rsidRDefault="00265B61" w:rsidP="0042214D">
            <w:pPr>
              <w:pStyle w:val="TabletextrowsAgency"/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  <w:lang w:val="it-IT" w:eastAsia="en-GB"/>
              </w:rPr>
            </w:pPr>
            <w:r w:rsidRPr="00462889">
              <w:rPr>
                <w:rFonts w:ascii="Calibri" w:hAnsi="Calibri" w:cs="Calibri"/>
                <w:sz w:val="22"/>
                <w:szCs w:val="22"/>
                <w:lang w:val="it-IT" w:eastAsia="en-GB"/>
              </w:rPr>
              <w:t>Rischi importanti potenziali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134B46" w14:textId="393F45AC" w:rsidR="00265B61" w:rsidRPr="00462889" w:rsidRDefault="0074057E" w:rsidP="00BE7CDB">
            <w:pPr>
              <w:spacing w:after="0" w:line="240" w:lineRule="auto"/>
              <w:rPr>
                <w:rFonts w:cs="Calibri"/>
                <w:sz w:val="24"/>
                <w:szCs w:val="24"/>
                <w:lang w:eastAsia="en-GB"/>
              </w:rPr>
            </w:pPr>
            <w:r w:rsidRPr="00462889">
              <w:rPr>
                <w:rFonts w:cs="Calibri"/>
                <w:sz w:val="24"/>
                <w:szCs w:val="24"/>
              </w:rPr>
              <w:t>Nessuno</w:t>
            </w:r>
          </w:p>
        </w:tc>
      </w:tr>
      <w:tr w:rsidR="00265B61" w:rsidRPr="00462889" w14:paraId="1ECFDD75" w14:textId="77777777" w:rsidTr="0042214D">
        <w:trPr>
          <w:jc w:val="center"/>
        </w:trPr>
        <w:tc>
          <w:tcPr>
            <w:tcW w:w="15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439D4F" w14:textId="77777777" w:rsidR="00265B61" w:rsidRPr="00462889" w:rsidRDefault="00265B61" w:rsidP="0042214D">
            <w:pPr>
              <w:pStyle w:val="TabletextrowsAgency"/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  <w:lang w:val="it-IT" w:eastAsia="en-GB"/>
              </w:rPr>
            </w:pPr>
            <w:r w:rsidRPr="00462889">
              <w:rPr>
                <w:rFonts w:ascii="Calibri" w:hAnsi="Calibri" w:cs="Calibri"/>
                <w:sz w:val="22"/>
                <w:szCs w:val="22"/>
                <w:lang w:val="it-IT" w:eastAsia="en-GB"/>
              </w:rPr>
              <w:t>Informazioni mancanti</w:t>
            </w:r>
          </w:p>
        </w:tc>
        <w:tc>
          <w:tcPr>
            <w:tcW w:w="34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F3954D" w14:textId="021F6D1A" w:rsidR="0074057E" w:rsidRPr="00462889" w:rsidRDefault="0074057E" w:rsidP="002D2B9C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ind w:left="280" w:hanging="280"/>
              <w:rPr>
                <w:rFonts w:cs="Calibri"/>
                <w:sz w:val="24"/>
                <w:szCs w:val="24"/>
              </w:rPr>
            </w:pPr>
            <w:r w:rsidRPr="00462889">
              <w:rPr>
                <w:rFonts w:cs="Calibri"/>
                <w:sz w:val="24"/>
                <w:szCs w:val="24"/>
              </w:rPr>
              <w:t>Dati relativi alla gravidanza e all'allattamento</w:t>
            </w:r>
          </w:p>
          <w:p w14:paraId="5FF6EC30" w14:textId="3FE052A0" w:rsidR="00265B61" w:rsidRPr="00462889" w:rsidRDefault="0074057E" w:rsidP="002D2B9C">
            <w:pPr>
              <w:pStyle w:val="Paragrafoelenco"/>
              <w:numPr>
                <w:ilvl w:val="0"/>
                <w:numId w:val="12"/>
              </w:numPr>
              <w:spacing w:after="0" w:line="240" w:lineRule="auto"/>
              <w:ind w:left="280" w:hanging="284"/>
              <w:rPr>
                <w:rFonts w:cs="Calibri"/>
                <w:sz w:val="24"/>
                <w:szCs w:val="24"/>
              </w:rPr>
            </w:pPr>
            <w:r w:rsidRPr="00462889">
              <w:rPr>
                <w:rFonts w:cs="Calibri"/>
                <w:sz w:val="24"/>
                <w:szCs w:val="24"/>
              </w:rPr>
              <w:t>Effetti a lungo termine sulla crescita, sulla funzione endocrina o sulla maturazione sessuale, sullo sviluppo neurologico, sullo sviluppo cognitivo e psicomotorio nei pazienti pediatrici</w:t>
            </w:r>
          </w:p>
        </w:tc>
      </w:tr>
    </w:tbl>
    <w:p w14:paraId="276F9A30" w14:textId="77777777" w:rsidR="00265B61" w:rsidRPr="00462889" w:rsidRDefault="00265B61" w:rsidP="00265B6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7F7ADE41" w14:textId="77777777" w:rsidR="004E5A39" w:rsidRPr="00462889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Azioni routinarie di farmacovigilanza e di minimizzazione del rischio sono proposte per tutte le problematiche di sicurezza.</w:t>
      </w:r>
    </w:p>
    <w:p w14:paraId="27AD5402" w14:textId="77777777" w:rsidR="00461D93" w:rsidRPr="00462889" w:rsidRDefault="004E5A39" w:rsidP="009254C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>Oltre le misure previste nel Riassunto delle caratteristiche del prodotto non sono previste attività addizionali di minimizzazione del rischio</w:t>
      </w:r>
      <w:r w:rsidR="009254CC" w:rsidRPr="00462889">
        <w:rPr>
          <w:rFonts w:cs="Calibri"/>
          <w:sz w:val="24"/>
          <w:szCs w:val="24"/>
        </w:rPr>
        <w:t xml:space="preserve">. </w:t>
      </w:r>
    </w:p>
    <w:p w14:paraId="298EF20B" w14:textId="77777777" w:rsidR="004E5A39" w:rsidRPr="00462889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6BE85BE5" w14:textId="292FE13B" w:rsidR="009568D6" w:rsidRPr="00462889" w:rsidRDefault="009254CC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Per maggiori dettagli circa le attività di farmacovigilanza previste per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Pr="00462889">
        <w:rPr>
          <w:rFonts w:cs="Calibri"/>
          <w:color w:val="000000"/>
          <w:sz w:val="24"/>
          <w:szCs w:val="24"/>
          <w:lang w:eastAsia="it-IT"/>
        </w:rPr>
        <w:t xml:space="preserve"> si può consultare il</w:t>
      </w:r>
      <w:r w:rsidRPr="00462889">
        <w:rPr>
          <w:rFonts w:cs="Calibri"/>
          <w:sz w:val="24"/>
          <w:szCs w:val="24"/>
        </w:rPr>
        <w:t xml:space="preserve"> </w:t>
      </w:r>
      <w:r w:rsidR="009568D6" w:rsidRPr="00462889">
        <w:rPr>
          <w:rFonts w:cs="Calibri"/>
          <w:sz w:val="24"/>
          <w:szCs w:val="24"/>
        </w:rPr>
        <w:t xml:space="preserve">“Summary </w:t>
      </w:r>
      <w:r w:rsidRPr="00462889">
        <w:rPr>
          <w:rFonts w:cs="Calibri"/>
          <w:sz w:val="24"/>
          <w:szCs w:val="24"/>
        </w:rPr>
        <w:t>RMP</w:t>
      </w:r>
      <w:r w:rsidR="009568D6" w:rsidRPr="00462889">
        <w:rPr>
          <w:rFonts w:cs="Calibri"/>
          <w:sz w:val="24"/>
          <w:szCs w:val="24"/>
        </w:rPr>
        <w:t>” allegato.</w:t>
      </w:r>
    </w:p>
    <w:p w14:paraId="208B55C7" w14:textId="77777777" w:rsidR="004E5A39" w:rsidRPr="00462889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1C667B87" w14:textId="77777777" w:rsidR="004E5A39" w:rsidRPr="00462889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Conclusioni</w:t>
      </w:r>
    </w:p>
    <w:p w14:paraId="229DA16B" w14:textId="5ACEDD79" w:rsidR="004E5A39" w:rsidRPr="00462889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Per la richiesta di AIC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BE7CDB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</w:rPr>
        <w:t>sono state presentate sufficienti informazioni cliniche.</w:t>
      </w:r>
    </w:p>
    <w:p w14:paraId="14464244" w14:textId="7959BFB9" w:rsidR="004E5A39" w:rsidRPr="00462889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Il rapporto beneficio/rischio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BE7CDB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</w:rPr>
        <w:t>è considerato favorevole dal punto di vista clinico.</w:t>
      </w:r>
    </w:p>
    <w:p w14:paraId="6668ED9D" w14:textId="77777777" w:rsidR="00F35F38" w:rsidRPr="00462889" w:rsidRDefault="00F35F38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627081BD" w14:textId="77777777" w:rsidR="004E5A39" w:rsidRPr="00462889" w:rsidRDefault="004E5A39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112E2A79" w14:textId="77777777" w:rsidR="004E5A39" w:rsidRPr="00462889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CONSULTAZIONE SUL FOGLIO ILLUSTRATIVO</w:t>
      </w:r>
    </w:p>
    <w:p w14:paraId="23294452" w14:textId="78046E2F" w:rsidR="00F44B8C" w:rsidRPr="00462889" w:rsidRDefault="00245B04" w:rsidP="00F44B8C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Il bridging report </w:t>
      </w:r>
      <w:r w:rsidR="006222F7" w:rsidRPr="00462889">
        <w:rPr>
          <w:rFonts w:cs="Calibri"/>
          <w:sz w:val="24"/>
          <w:szCs w:val="24"/>
        </w:rPr>
        <w:t xml:space="preserve">presentato </w:t>
      </w:r>
      <w:r w:rsidRPr="00462889">
        <w:rPr>
          <w:rFonts w:cs="Calibri"/>
          <w:sz w:val="24"/>
          <w:szCs w:val="24"/>
        </w:rPr>
        <w:t xml:space="preserve">dalla </w:t>
      </w:r>
      <w:r w:rsidR="006222F7" w:rsidRPr="00462889">
        <w:rPr>
          <w:rFonts w:cs="Calibri"/>
          <w:sz w:val="24"/>
          <w:szCs w:val="24"/>
        </w:rPr>
        <w:t>società</w:t>
      </w:r>
      <w:r w:rsidRPr="00462889">
        <w:rPr>
          <w:rFonts w:cs="Calibri"/>
          <w:sz w:val="24"/>
          <w:szCs w:val="24"/>
        </w:rPr>
        <w:t xml:space="preserve"> è stato ritenuto accettabile</w:t>
      </w:r>
      <w:r w:rsidR="00195C98" w:rsidRPr="00462889">
        <w:rPr>
          <w:rFonts w:cs="Calibri"/>
          <w:sz w:val="24"/>
          <w:szCs w:val="24"/>
        </w:rPr>
        <w:t xml:space="preserve"> </w:t>
      </w:r>
      <w:r w:rsidR="00F44B8C" w:rsidRPr="00462889">
        <w:rPr>
          <w:rFonts w:cs="Calibri"/>
          <w:sz w:val="24"/>
          <w:szCs w:val="24"/>
        </w:rPr>
        <w:t xml:space="preserve">essendo stato confrontato con il foglio illustrativo del medicinale di riferimento avente stesse informazioni sull’efficacia e la sicurezza ed essendo le differenze di stile, font e layout non significative </w:t>
      </w:r>
    </w:p>
    <w:p w14:paraId="012EBA8F" w14:textId="77777777" w:rsidR="004631F3" w:rsidRPr="00462889" w:rsidRDefault="004631F3" w:rsidP="00EF6711">
      <w:pPr>
        <w:pStyle w:val="Paragrafoelenco"/>
        <w:spacing w:after="0" w:line="240" w:lineRule="auto"/>
        <w:ind w:left="0"/>
        <w:jc w:val="both"/>
        <w:rPr>
          <w:rFonts w:cs="Calibri"/>
          <w:sz w:val="24"/>
          <w:szCs w:val="24"/>
        </w:rPr>
      </w:pPr>
    </w:p>
    <w:p w14:paraId="78B7BF56" w14:textId="77777777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C3439B5" w14:textId="77777777" w:rsidR="004E5A39" w:rsidRPr="00462889" w:rsidRDefault="004E5A39" w:rsidP="00EF6711">
      <w:pPr>
        <w:pStyle w:val="Paragrafoelenco"/>
        <w:numPr>
          <w:ilvl w:val="0"/>
          <w:numId w:val="2"/>
        </w:numPr>
        <w:spacing w:after="0" w:line="240" w:lineRule="auto"/>
        <w:jc w:val="both"/>
        <w:rPr>
          <w:rFonts w:cs="Calibri"/>
          <w:b/>
          <w:sz w:val="24"/>
          <w:szCs w:val="24"/>
        </w:rPr>
      </w:pPr>
      <w:r w:rsidRPr="00462889">
        <w:rPr>
          <w:rFonts w:cs="Calibri"/>
          <w:b/>
          <w:sz w:val="24"/>
          <w:szCs w:val="24"/>
        </w:rPr>
        <w:t>CONCLUSIONI, VALUTAZIONE DEL RAPPORTO BENEFICIO/RISCHIO E RACCOMANDAZIONI</w:t>
      </w:r>
    </w:p>
    <w:p w14:paraId="3A96B6B0" w14:textId="0EE33961" w:rsidR="004E5A39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La qualità di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BE7CDB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</w:rPr>
        <w:t>è accettabile e non sono state rilevate criticità da un punto di vista non clinico e clinico.</w:t>
      </w:r>
    </w:p>
    <w:p w14:paraId="42EB40EC" w14:textId="77777777" w:rsidR="00071E63" w:rsidRPr="00462889" w:rsidRDefault="00071E63" w:rsidP="00EF6711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56268668" w14:textId="493C2DD9" w:rsidR="00BE7CDB" w:rsidRPr="00462889" w:rsidRDefault="00BE7CDB" w:rsidP="00BE7CDB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Lo studio di bioequivalenza e le sue conclusioni confermano che </w:t>
      </w:r>
      <w:r w:rsidR="004F211A" w:rsidRPr="00462889">
        <w:rPr>
          <w:rFonts w:cs="Calibri"/>
          <w:color w:val="000000"/>
          <w:sz w:val="24"/>
          <w:szCs w:val="24"/>
          <w:lang w:eastAsia="it-IT"/>
        </w:rPr>
        <w:t>Brivaracetam Pensa</w:t>
      </w:r>
      <w:r w:rsidR="00071E63" w:rsidRPr="00462889">
        <w:rPr>
          <w:rFonts w:cs="Calibri"/>
          <w:color w:val="000000"/>
          <w:sz w:val="24"/>
          <w:szCs w:val="24"/>
          <w:lang w:eastAsia="it-IT"/>
        </w:rPr>
        <w:t xml:space="preserve"> </w:t>
      </w:r>
      <w:r w:rsidRPr="00462889">
        <w:rPr>
          <w:rFonts w:cs="Calibri"/>
          <w:sz w:val="24"/>
          <w:szCs w:val="24"/>
        </w:rPr>
        <w:t>e il medicinale di riferimento</w:t>
      </w:r>
      <w:r w:rsidR="00FB7AFB" w:rsidRPr="00462889">
        <w:rPr>
          <w:rFonts w:cs="Calibri"/>
          <w:sz w:val="24"/>
          <w:szCs w:val="24"/>
        </w:rPr>
        <w:t xml:space="preserve"> Briviact (</w:t>
      </w:r>
      <w:r w:rsidR="00054F99" w:rsidRPr="00462889">
        <w:rPr>
          <w:rFonts w:cs="Calibri"/>
          <w:sz w:val="24"/>
          <w:szCs w:val="24"/>
        </w:rPr>
        <w:t xml:space="preserve">in Italia </w:t>
      </w:r>
      <w:r w:rsidR="00FB7AFB" w:rsidRPr="00462889">
        <w:rPr>
          <w:rFonts w:cs="Calibri"/>
          <w:sz w:val="24"/>
          <w:szCs w:val="24"/>
        </w:rPr>
        <w:t xml:space="preserve">Nubivreo) </w:t>
      </w:r>
      <w:r w:rsidR="00F90F1F" w:rsidRPr="00462889">
        <w:rPr>
          <w:rFonts w:cs="Calibri"/>
          <w:sz w:val="24"/>
          <w:szCs w:val="24"/>
        </w:rPr>
        <w:t>sono bioequivalenti</w:t>
      </w:r>
      <w:r w:rsidRPr="00462889">
        <w:rPr>
          <w:rFonts w:cs="Calibri"/>
          <w:sz w:val="24"/>
          <w:szCs w:val="24"/>
        </w:rPr>
        <w:t>.</w:t>
      </w:r>
    </w:p>
    <w:p w14:paraId="1187719F" w14:textId="09FBB794" w:rsidR="00F44B8C" w:rsidRPr="00462889" w:rsidRDefault="00F44B8C" w:rsidP="00F44B8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Calibri"/>
          <w:color w:val="000000"/>
          <w:sz w:val="24"/>
          <w:szCs w:val="24"/>
          <w:lang w:eastAsia="it-IT"/>
        </w:rPr>
      </w:pPr>
    </w:p>
    <w:p w14:paraId="2C9E1851" w14:textId="77777777" w:rsidR="00071E63" w:rsidRPr="00462889" w:rsidRDefault="004E5A39" w:rsidP="00EF6711">
      <w:pPr>
        <w:spacing w:after="0" w:line="240" w:lineRule="auto"/>
        <w:jc w:val="both"/>
        <w:rPr>
          <w:rFonts w:cs="Calibri"/>
          <w:sz w:val="24"/>
          <w:szCs w:val="24"/>
        </w:rPr>
      </w:pPr>
      <w:r w:rsidRPr="00462889">
        <w:rPr>
          <w:rFonts w:cs="Calibri"/>
          <w:sz w:val="24"/>
          <w:szCs w:val="24"/>
        </w:rPr>
        <w:t xml:space="preserve">Il riassunto delle caratteristiche del prodotto, il foglio illustrativo e le etichette sono in linea con le </w:t>
      </w:r>
      <w:r w:rsidR="00071E63" w:rsidRPr="00462889">
        <w:rPr>
          <w:rFonts w:cs="Calibri"/>
          <w:sz w:val="24"/>
          <w:szCs w:val="24"/>
        </w:rPr>
        <w:t xml:space="preserve">vigenti </w:t>
      </w:r>
      <w:r w:rsidRPr="00462889">
        <w:rPr>
          <w:rFonts w:cs="Calibri"/>
          <w:sz w:val="24"/>
          <w:szCs w:val="24"/>
        </w:rPr>
        <w:t>linee guida</w:t>
      </w:r>
      <w:r w:rsidR="00071E63" w:rsidRPr="00462889">
        <w:rPr>
          <w:rFonts w:cs="Calibri"/>
          <w:sz w:val="24"/>
          <w:szCs w:val="24"/>
        </w:rPr>
        <w:t xml:space="preserve"> e raccomandazioni italiane ed europee</w:t>
      </w:r>
      <w:r w:rsidRPr="00462889">
        <w:rPr>
          <w:rFonts w:cs="Calibri"/>
          <w:sz w:val="24"/>
          <w:szCs w:val="24"/>
        </w:rPr>
        <w:t xml:space="preserve">. </w:t>
      </w:r>
    </w:p>
    <w:p w14:paraId="48179BB7" w14:textId="77777777" w:rsidR="00CE62A1" w:rsidRPr="007A423B" w:rsidRDefault="004E5A39" w:rsidP="00EF6711">
      <w:pPr>
        <w:spacing w:after="0" w:line="240" w:lineRule="auto"/>
        <w:jc w:val="both"/>
        <w:rPr>
          <w:rFonts w:cs="Calibri"/>
          <w:sz w:val="24"/>
          <w:szCs w:val="24"/>
          <w:lang w:eastAsia="it-IT"/>
        </w:rPr>
      </w:pPr>
      <w:r w:rsidRPr="00462889">
        <w:rPr>
          <w:rFonts w:cs="Calibri"/>
          <w:sz w:val="24"/>
          <w:szCs w:val="24"/>
        </w:rPr>
        <w:t xml:space="preserve">Questi documenti possono essere consultati sul sito istituzionale di AIFA </w:t>
      </w:r>
      <w:hyperlink r:id="rId13" w:anchor="/it/" w:history="1">
        <w:r w:rsidR="00F106A0" w:rsidRPr="00462889">
          <w:rPr>
            <w:rStyle w:val="Collegamentoipertestuale"/>
            <w:rFonts w:cs="Calibri"/>
            <w:sz w:val="24"/>
            <w:szCs w:val="24"/>
          </w:rPr>
          <w:t>https://medicinali.aifa.gov.it/it/#/it/</w:t>
        </w:r>
      </w:hyperlink>
      <w:r w:rsidR="00F106A0" w:rsidRPr="007A423B">
        <w:rPr>
          <w:rFonts w:cs="Calibri"/>
          <w:sz w:val="24"/>
          <w:szCs w:val="24"/>
        </w:rPr>
        <w:t xml:space="preserve"> </w:t>
      </w:r>
    </w:p>
    <w:p w14:paraId="4CBD8F7A" w14:textId="77777777" w:rsidR="00046E1D" w:rsidRPr="007A423B" w:rsidRDefault="00046E1D" w:rsidP="00EF6711">
      <w:pPr>
        <w:spacing w:after="0" w:line="240" w:lineRule="auto"/>
        <w:jc w:val="both"/>
        <w:rPr>
          <w:rFonts w:cs="Calibri"/>
          <w:lang w:eastAsia="it-IT"/>
        </w:rPr>
      </w:pPr>
    </w:p>
    <w:p w14:paraId="41D31ADC" w14:textId="77777777" w:rsidR="006B311C" w:rsidRPr="007A423B" w:rsidRDefault="006B311C" w:rsidP="00046E1D">
      <w:pPr>
        <w:jc w:val="center"/>
        <w:rPr>
          <w:rFonts w:cs="Calibri"/>
          <w:lang w:eastAsia="it-IT"/>
        </w:rPr>
      </w:pPr>
    </w:p>
    <w:sectPr w:rsidR="006B311C" w:rsidRPr="007A423B" w:rsidSect="00EF671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332FF" w14:textId="77777777" w:rsidR="00197F3E" w:rsidRDefault="00197F3E" w:rsidP="00C07183">
      <w:pPr>
        <w:spacing w:after="0" w:line="240" w:lineRule="auto"/>
      </w:pPr>
      <w:r>
        <w:separator/>
      </w:r>
    </w:p>
  </w:endnote>
  <w:endnote w:type="continuationSeparator" w:id="0">
    <w:p w14:paraId="3E4695D3" w14:textId="77777777" w:rsidR="00197F3E" w:rsidRDefault="00197F3E" w:rsidP="00C07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3CE75" w14:textId="77777777" w:rsidR="00FE4E30" w:rsidRDefault="00FE4E3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19CF2" w14:textId="77777777" w:rsidR="00FE4E30" w:rsidRPr="004A28BC" w:rsidRDefault="00FE4E30" w:rsidP="00FE4E30">
    <w:pPr>
      <w:spacing w:after="0" w:line="240" w:lineRule="auto"/>
      <w:rPr>
        <w:rFonts w:ascii="Times New Roman" w:eastAsia="Times New Roman" w:hAnsi="Times New Roman"/>
        <w:sz w:val="16"/>
        <w:szCs w:val="16"/>
        <w:lang w:eastAsia="it-IT"/>
      </w:rPr>
    </w:pPr>
    <w:r w:rsidRPr="004A28BC">
      <w:rPr>
        <w:rFonts w:eastAsia="Times New Roman" w:cs="Calibri"/>
        <w:color w:val="000000"/>
        <w:sz w:val="16"/>
        <w:szCs w:val="16"/>
        <w:lang w:eastAsia="it-IT"/>
      </w:rPr>
      <w:t>Documento ad uso Pubblico</w:t>
    </w:r>
  </w:p>
  <w:p w14:paraId="6FBED5D0" w14:textId="31D2F79E" w:rsidR="00132B98" w:rsidRDefault="00132B98" w:rsidP="004A28BC">
    <w:pPr>
      <w:pStyle w:val="Pidipagina"/>
      <w:jc w:val="right"/>
    </w:pPr>
    <w:r w:rsidRPr="004A28BC">
      <w:rPr>
        <w:sz w:val="16"/>
        <w:szCs w:val="16"/>
      </w:rPr>
      <w:fldChar w:fldCharType="begin"/>
    </w:r>
    <w:r w:rsidRPr="004A28BC">
      <w:rPr>
        <w:sz w:val="16"/>
        <w:szCs w:val="16"/>
      </w:rPr>
      <w:instrText>PAGE   \* MERGEFORMAT</w:instrText>
    </w:r>
    <w:r w:rsidRPr="004A28BC">
      <w:rPr>
        <w:sz w:val="16"/>
        <w:szCs w:val="16"/>
      </w:rPr>
      <w:fldChar w:fldCharType="separate"/>
    </w:r>
    <w:r w:rsidR="00DE3875">
      <w:rPr>
        <w:noProof/>
        <w:sz w:val="16"/>
        <w:szCs w:val="16"/>
      </w:rPr>
      <w:t>9</w:t>
    </w:r>
    <w:r w:rsidRPr="004A28BC">
      <w:rPr>
        <w:sz w:val="16"/>
        <w:szCs w:val="16"/>
      </w:rPr>
      <w:fldChar w:fldCharType="end"/>
    </w:r>
  </w:p>
  <w:p w14:paraId="071D8DF8" w14:textId="77777777" w:rsidR="00132B98" w:rsidRDefault="00132B98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0DCE6" w14:textId="77777777" w:rsidR="00FE4E30" w:rsidRDefault="00FE4E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E8EA9" w14:textId="77777777" w:rsidR="00197F3E" w:rsidRDefault="00197F3E" w:rsidP="00C07183">
      <w:pPr>
        <w:spacing w:after="0" w:line="240" w:lineRule="auto"/>
      </w:pPr>
      <w:r>
        <w:separator/>
      </w:r>
    </w:p>
  </w:footnote>
  <w:footnote w:type="continuationSeparator" w:id="0">
    <w:p w14:paraId="3960CAAE" w14:textId="77777777" w:rsidR="00197F3E" w:rsidRDefault="00197F3E" w:rsidP="00C07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76969F" w14:textId="77777777" w:rsidR="00FE4E30" w:rsidRDefault="00FE4E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D5A32" w14:textId="77777777" w:rsidR="00132B98" w:rsidRDefault="00132B98" w:rsidP="00132B98">
    <w:pPr>
      <w:pStyle w:val="Intestazione"/>
    </w:pPr>
  </w:p>
  <w:p w14:paraId="5D6A26ED" w14:textId="77777777" w:rsidR="00132B98" w:rsidRPr="004A28BC" w:rsidRDefault="00132B98">
    <w:pPr>
      <w:pStyle w:val="Intestazione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A44E2" w14:textId="77777777" w:rsidR="00FE4E30" w:rsidRDefault="00FE4E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90D0D"/>
    <w:multiLevelType w:val="hybridMultilevel"/>
    <w:tmpl w:val="C96CD5BA"/>
    <w:lvl w:ilvl="0" w:tplc="F40028E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1EE68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7F8470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32912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F2B2C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5ABA8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E0247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A2DB6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16898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2382E"/>
    <w:multiLevelType w:val="hybridMultilevel"/>
    <w:tmpl w:val="F554422C"/>
    <w:lvl w:ilvl="0" w:tplc="0C78938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b w:val="0"/>
        <w:color w:val="auto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3624C"/>
    <w:multiLevelType w:val="hybridMultilevel"/>
    <w:tmpl w:val="8604BA56"/>
    <w:lvl w:ilvl="0" w:tplc="4A48F9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2505CF"/>
    <w:multiLevelType w:val="hybridMultilevel"/>
    <w:tmpl w:val="6BE6F5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478AF"/>
    <w:multiLevelType w:val="hybridMultilevel"/>
    <w:tmpl w:val="0EC4CBF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E19499D"/>
    <w:multiLevelType w:val="hybridMultilevel"/>
    <w:tmpl w:val="F4ECB43E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63AE5"/>
    <w:multiLevelType w:val="hybridMultilevel"/>
    <w:tmpl w:val="E99205FE"/>
    <w:lvl w:ilvl="0" w:tplc="D4045B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994127"/>
    <w:multiLevelType w:val="hybridMultilevel"/>
    <w:tmpl w:val="49EC5E48"/>
    <w:lvl w:ilvl="0" w:tplc="F7424BB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16602F"/>
    <w:multiLevelType w:val="hybridMultilevel"/>
    <w:tmpl w:val="60446A6E"/>
    <w:lvl w:ilvl="0" w:tplc="572EFB8E">
      <w:start w:val="1"/>
      <w:numFmt w:val="bullet"/>
      <w:lvlText w:val="-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8ADC32">
      <w:start w:val="1"/>
      <w:numFmt w:val="bullet"/>
      <w:lvlText w:val="o"/>
      <w:lvlJc w:val="left"/>
      <w:pPr>
        <w:ind w:left="1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5C9C46">
      <w:start w:val="1"/>
      <w:numFmt w:val="bullet"/>
      <w:lvlText w:val="▪"/>
      <w:lvlJc w:val="left"/>
      <w:pPr>
        <w:ind w:left="1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A8D1CE">
      <w:start w:val="1"/>
      <w:numFmt w:val="bullet"/>
      <w:lvlText w:val="•"/>
      <w:lvlJc w:val="left"/>
      <w:pPr>
        <w:ind w:left="2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EAC5AC">
      <w:start w:val="1"/>
      <w:numFmt w:val="bullet"/>
      <w:lvlText w:val="o"/>
      <w:lvlJc w:val="left"/>
      <w:pPr>
        <w:ind w:left="3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34C2AE">
      <w:start w:val="1"/>
      <w:numFmt w:val="bullet"/>
      <w:lvlText w:val="▪"/>
      <w:lvlJc w:val="left"/>
      <w:pPr>
        <w:ind w:left="4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2C7E2C">
      <w:start w:val="1"/>
      <w:numFmt w:val="bullet"/>
      <w:lvlText w:val="•"/>
      <w:lvlJc w:val="left"/>
      <w:pPr>
        <w:ind w:left="4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64425A">
      <w:start w:val="1"/>
      <w:numFmt w:val="bullet"/>
      <w:lvlText w:val="o"/>
      <w:lvlJc w:val="left"/>
      <w:pPr>
        <w:ind w:left="5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CEE79C">
      <w:start w:val="1"/>
      <w:numFmt w:val="bullet"/>
      <w:lvlText w:val="▪"/>
      <w:lvlJc w:val="left"/>
      <w:pPr>
        <w:ind w:left="6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8B3AF7"/>
    <w:multiLevelType w:val="hybridMultilevel"/>
    <w:tmpl w:val="41A851CA"/>
    <w:lvl w:ilvl="0" w:tplc="B268C8BA">
      <w:start w:val="1"/>
      <w:numFmt w:val="lowerLetter"/>
      <w:lvlText w:val="%1."/>
      <w:lvlJc w:val="left"/>
      <w:pPr>
        <w:ind w:left="4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140" w:hanging="360"/>
      </w:pPr>
    </w:lvl>
    <w:lvl w:ilvl="2" w:tplc="0410001B" w:tentative="1">
      <w:start w:val="1"/>
      <w:numFmt w:val="lowerRoman"/>
      <w:lvlText w:val="%3."/>
      <w:lvlJc w:val="right"/>
      <w:pPr>
        <w:ind w:left="1860" w:hanging="180"/>
      </w:pPr>
    </w:lvl>
    <w:lvl w:ilvl="3" w:tplc="0410000F" w:tentative="1">
      <w:start w:val="1"/>
      <w:numFmt w:val="decimal"/>
      <w:lvlText w:val="%4."/>
      <w:lvlJc w:val="left"/>
      <w:pPr>
        <w:ind w:left="2580" w:hanging="360"/>
      </w:pPr>
    </w:lvl>
    <w:lvl w:ilvl="4" w:tplc="04100019" w:tentative="1">
      <w:start w:val="1"/>
      <w:numFmt w:val="lowerLetter"/>
      <w:lvlText w:val="%5."/>
      <w:lvlJc w:val="left"/>
      <w:pPr>
        <w:ind w:left="3300" w:hanging="360"/>
      </w:pPr>
    </w:lvl>
    <w:lvl w:ilvl="5" w:tplc="0410001B" w:tentative="1">
      <w:start w:val="1"/>
      <w:numFmt w:val="lowerRoman"/>
      <w:lvlText w:val="%6."/>
      <w:lvlJc w:val="right"/>
      <w:pPr>
        <w:ind w:left="4020" w:hanging="180"/>
      </w:pPr>
    </w:lvl>
    <w:lvl w:ilvl="6" w:tplc="0410000F" w:tentative="1">
      <w:start w:val="1"/>
      <w:numFmt w:val="decimal"/>
      <w:lvlText w:val="%7."/>
      <w:lvlJc w:val="left"/>
      <w:pPr>
        <w:ind w:left="4740" w:hanging="360"/>
      </w:pPr>
    </w:lvl>
    <w:lvl w:ilvl="7" w:tplc="04100019" w:tentative="1">
      <w:start w:val="1"/>
      <w:numFmt w:val="lowerLetter"/>
      <w:lvlText w:val="%8."/>
      <w:lvlJc w:val="left"/>
      <w:pPr>
        <w:ind w:left="5460" w:hanging="360"/>
      </w:pPr>
    </w:lvl>
    <w:lvl w:ilvl="8" w:tplc="041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11"/>
  </w:num>
  <w:num w:numId="9">
    <w:abstractNumId w:val="9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it-IT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131078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AC"/>
    <w:rsid w:val="00010F5F"/>
    <w:rsid w:val="00013020"/>
    <w:rsid w:val="00014743"/>
    <w:rsid w:val="0002205E"/>
    <w:rsid w:val="00022511"/>
    <w:rsid w:val="00022F32"/>
    <w:rsid w:val="00023CEA"/>
    <w:rsid w:val="00035DB7"/>
    <w:rsid w:val="000438C4"/>
    <w:rsid w:val="00046E1D"/>
    <w:rsid w:val="00050F6A"/>
    <w:rsid w:val="00054F99"/>
    <w:rsid w:val="00062636"/>
    <w:rsid w:val="00071E63"/>
    <w:rsid w:val="000759F6"/>
    <w:rsid w:val="000808A3"/>
    <w:rsid w:val="000A4BA1"/>
    <w:rsid w:val="000B7AC8"/>
    <w:rsid w:val="000C1389"/>
    <w:rsid w:val="000E1F86"/>
    <w:rsid w:val="000E4494"/>
    <w:rsid w:val="000E4A73"/>
    <w:rsid w:val="000F405C"/>
    <w:rsid w:val="000F658F"/>
    <w:rsid w:val="001001B6"/>
    <w:rsid w:val="00111E9E"/>
    <w:rsid w:val="00112B76"/>
    <w:rsid w:val="00126BC8"/>
    <w:rsid w:val="00132B98"/>
    <w:rsid w:val="0013341C"/>
    <w:rsid w:val="001334B1"/>
    <w:rsid w:val="00135B40"/>
    <w:rsid w:val="00140A97"/>
    <w:rsid w:val="001460CA"/>
    <w:rsid w:val="0016526F"/>
    <w:rsid w:val="00165D07"/>
    <w:rsid w:val="00172AED"/>
    <w:rsid w:val="00191EF9"/>
    <w:rsid w:val="00194300"/>
    <w:rsid w:val="00195C98"/>
    <w:rsid w:val="00197F3E"/>
    <w:rsid w:val="001A516D"/>
    <w:rsid w:val="001A734F"/>
    <w:rsid w:val="001B2799"/>
    <w:rsid w:val="001B50AB"/>
    <w:rsid w:val="001B599D"/>
    <w:rsid w:val="001C15DF"/>
    <w:rsid w:val="001C2899"/>
    <w:rsid w:val="001C2F13"/>
    <w:rsid w:val="001C346E"/>
    <w:rsid w:val="001C4323"/>
    <w:rsid w:val="001C6A21"/>
    <w:rsid w:val="001F0D20"/>
    <w:rsid w:val="001F5E2F"/>
    <w:rsid w:val="0021736D"/>
    <w:rsid w:val="00221C4C"/>
    <w:rsid w:val="00245B04"/>
    <w:rsid w:val="00246598"/>
    <w:rsid w:val="00252FE8"/>
    <w:rsid w:val="002554FE"/>
    <w:rsid w:val="00265B61"/>
    <w:rsid w:val="002744F3"/>
    <w:rsid w:val="00277A0E"/>
    <w:rsid w:val="00295EEA"/>
    <w:rsid w:val="0029652E"/>
    <w:rsid w:val="00297F10"/>
    <w:rsid w:val="002A05B9"/>
    <w:rsid w:val="002A1800"/>
    <w:rsid w:val="002B662A"/>
    <w:rsid w:val="002C2324"/>
    <w:rsid w:val="002C2D9F"/>
    <w:rsid w:val="002D2B9C"/>
    <w:rsid w:val="002D5627"/>
    <w:rsid w:val="002D7BB9"/>
    <w:rsid w:val="002E4F5B"/>
    <w:rsid w:val="002F2543"/>
    <w:rsid w:val="002F4000"/>
    <w:rsid w:val="00300BEA"/>
    <w:rsid w:val="00305B55"/>
    <w:rsid w:val="00305E28"/>
    <w:rsid w:val="003061E0"/>
    <w:rsid w:val="00323648"/>
    <w:rsid w:val="003238CF"/>
    <w:rsid w:val="00330DFA"/>
    <w:rsid w:val="00340DC4"/>
    <w:rsid w:val="003460E9"/>
    <w:rsid w:val="00353838"/>
    <w:rsid w:val="003544C6"/>
    <w:rsid w:val="0036331F"/>
    <w:rsid w:val="00367CE0"/>
    <w:rsid w:val="00387CA8"/>
    <w:rsid w:val="003949F9"/>
    <w:rsid w:val="00396755"/>
    <w:rsid w:val="003B0421"/>
    <w:rsid w:val="003B68D5"/>
    <w:rsid w:val="003C054E"/>
    <w:rsid w:val="003E1E83"/>
    <w:rsid w:val="003E6945"/>
    <w:rsid w:val="0041387F"/>
    <w:rsid w:val="004139CE"/>
    <w:rsid w:val="00420E9F"/>
    <w:rsid w:val="004214DB"/>
    <w:rsid w:val="0042214D"/>
    <w:rsid w:val="00423A97"/>
    <w:rsid w:val="004241AC"/>
    <w:rsid w:val="004322D9"/>
    <w:rsid w:val="00435039"/>
    <w:rsid w:val="00441071"/>
    <w:rsid w:val="00442A9D"/>
    <w:rsid w:val="00445DB2"/>
    <w:rsid w:val="004509BC"/>
    <w:rsid w:val="004532E2"/>
    <w:rsid w:val="00453821"/>
    <w:rsid w:val="004609F8"/>
    <w:rsid w:val="00461D93"/>
    <w:rsid w:val="004621A2"/>
    <w:rsid w:val="00462889"/>
    <w:rsid w:val="004631F3"/>
    <w:rsid w:val="00477F06"/>
    <w:rsid w:val="00482C32"/>
    <w:rsid w:val="00482F49"/>
    <w:rsid w:val="004A28BC"/>
    <w:rsid w:val="004A4C1F"/>
    <w:rsid w:val="004B1438"/>
    <w:rsid w:val="004B20A8"/>
    <w:rsid w:val="004B5781"/>
    <w:rsid w:val="004B5B15"/>
    <w:rsid w:val="004D3B32"/>
    <w:rsid w:val="004E28E5"/>
    <w:rsid w:val="004E5A39"/>
    <w:rsid w:val="004E70F5"/>
    <w:rsid w:val="004F211A"/>
    <w:rsid w:val="004F343B"/>
    <w:rsid w:val="004F3E76"/>
    <w:rsid w:val="00500ACA"/>
    <w:rsid w:val="005049A1"/>
    <w:rsid w:val="00504FC1"/>
    <w:rsid w:val="00510016"/>
    <w:rsid w:val="005173E0"/>
    <w:rsid w:val="00524B88"/>
    <w:rsid w:val="005250B6"/>
    <w:rsid w:val="005256F6"/>
    <w:rsid w:val="00534F29"/>
    <w:rsid w:val="0056372C"/>
    <w:rsid w:val="005637E9"/>
    <w:rsid w:val="00567615"/>
    <w:rsid w:val="005744D4"/>
    <w:rsid w:val="00577746"/>
    <w:rsid w:val="00577DAC"/>
    <w:rsid w:val="005826A6"/>
    <w:rsid w:val="005950D6"/>
    <w:rsid w:val="005A2856"/>
    <w:rsid w:val="005A33B1"/>
    <w:rsid w:val="005A466E"/>
    <w:rsid w:val="005A4BBD"/>
    <w:rsid w:val="005B4C97"/>
    <w:rsid w:val="005C2427"/>
    <w:rsid w:val="005C45B7"/>
    <w:rsid w:val="005D18E5"/>
    <w:rsid w:val="005E06C9"/>
    <w:rsid w:val="005E148A"/>
    <w:rsid w:val="005F54B1"/>
    <w:rsid w:val="00601021"/>
    <w:rsid w:val="00602DAF"/>
    <w:rsid w:val="00610BAB"/>
    <w:rsid w:val="00621AE2"/>
    <w:rsid w:val="006222F7"/>
    <w:rsid w:val="006231AC"/>
    <w:rsid w:val="006315A4"/>
    <w:rsid w:val="00635E6B"/>
    <w:rsid w:val="00642D6A"/>
    <w:rsid w:val="0064646C"/>
    <w:rsid w:val="00652AE5"/>
    <w:rsid w:val="00654D9E"/>
    <w:rsid w:val="00663BCD"/>
    <w:rsid w:val="00664931"/>
    <w:rsid w:val="006727BD"/>
    <w:rsid w:val="006741FB"/>
    <w:rsid w:val="006A3A37"/>
    <w:rsid w:val="006B311C"/>
    <w:rsid w:val="006B3E12"/>
    <w:rsid w:val="006C0722"/>
    <w:rsid w:val="006C08B4"/>
    <w:rsid w:val="006C5811"/>
    <w:rsid w:val="006D7B8C"/>
    <w:rsid w:val="006F44C7"/>
    <w:rsid w:val="00712DB3"/>
    <w:rsid w:val="00716DF5"/>
    <w:rsid w:val="007170D7"/>
    <w:rsid w:val="007221B6"/>
    <w:rsid w:val="0074057E"/>
    <w:rsid w:val="00745609"/>
    <w:rsid w:val="00746A56"/>
    <w:rsid w:val="00747DF3"/>
    <w:rsid w:val="00747E46"/>
    <w:rsid w:val="00765A07"/>
    <w:rsid w:val="00766E26"/>
    <w:rsid w:val="00783156"/>
    <w:rsid w:val="0078608F"/>
    <w:rsid w:val="0078680B"/>
    <w:rsid w:val="00790B75"/>
    <w:rsid w:val="00797416"/>
    <w:rsid w:val="007A14F4"/>
    <w:rsid w:val="007A1C0E"/>
    <w:rsid w:val="007A423B"/>
    <w:rsid w:val="007A7A32"/>
    <w:rsid w:val="007C0622"/>
    <w:rsid w:val="007C1A82"/>
    <w:rsid w:val="007D0283"/>
    <w:rsid w:val="007D2539"/>
    <w:rsid w:val="007E4E98"/>
    <w:rsid w:val="008031E0"/>
    <w:rsid w:val="00811B01"/>
    <w:rsid w:val="00823F4C"/>
    <w:rsid w:val="00824EF9"/>
    <w:rsid w:val="008375CF"/>
    <w:rsid w:val="00851E12"/>
    <w:rsid w:val="008531ED"/>
    <w:rsid w:val="00853EC6"/>
    <w:rsid w:val="008547B3"/>
    <w:rsid w:val="008767B9"/>
    <w:rsid w:val="008819D4"/>
    <w:rsid w:val="00881BCB"/>
    <w:rsid w:val="0088216F"/>
    <w:rsid w:val="00890A5C"/>
    <w:rsid w:val="008A6FEC"/>
    <w:rsid w:val="008B214E"/>
    <w:rsid w:val="008B46E3"/>
    <w:rsid w:val="008B60D7"/>
    <w:rsid w:val="008B71E8"/>
    <w:rsid w:val="008C36E1"/>
    <w:rsid w:val="008C3877"/>
    <w:rsid w:val="008C3D30"/>
    <w:rsid w:val="008C75F9"/>
    <w:rsid w:val="008D1529"/>
    <w:rsid w:val="008D7307"/>
    <w:rsid w:val="008E25FD"/>
    <w:rsid w:val="008E3D9E"/>
    <w:rsid w:val="008F117D"/>
    <w:rsid w:val="008F69A7"/>
    <w:rsid w:val="00910BAA"/>
    <w:rsid w:val="009153E7"/>
    <w:rsid w:val="009232AA"/>
    <w:rsid w:val="009254CC"/>
    <w:rsid w:val="00943785"/>
    <w:rsid w:val="009565BA"/>
    <w:rsid w:val="009568D6"/>
    <w:rsid w:val="00957832"/>
    <w:rsid w:val="009802F7"/>
    <w:rsid w:val="00983038"/>
    <w:rsid w:val="0098470E"/>
    <w:rsid w:val="0099120C"/>
    <w:rsid w:val="00997646"/>
    <w:rsid w:val="00997F05"/>
    <w:rsid w:val="009A23DE"/>
    <w:rsid w:val="009A260F"/>
    <w:rsid w:val="009B03DB"/>
    <w:rsid w:val="009B1E44"/>
    <w:rsid w:val="009B3C75"/>
    <w:rsid w:val="009C3E8B"/>
    <w:rsid w:val="009D3446"/>
    <w:rsid w:val="009E0140"/>
    <w:rsid w:val="009E2BC0"/>
    <w:rsid w:val="009F3867"/>
    <w:rsid w:val="009F395B"/>
    <w:rsid w:val="009F5439"/>
    <w:rsid w:val="009F584E"/>
    <w:rsid w:val="00A01AB1"/>
    <w:rsid w:val="00A03645"/>
    <w:rsid w:val="00A0468B"/>
    <w:rsid w:val="00A046AC"/>
    <w:rsid w:val="00A06733"/>
    <w:rsid w:val="00A11FD6"/>
    <w:rsid w:val="00A247C5"/>
    <w:rsid w:val="00A31CC1"/>
    <w:rsid w:val="00A40FF3"/>
    <w:rsid w:val="00A47604"/>
    <w:rsid w:val="00A62D55"/>
    <w:rsid w:val="00A83AB4"/>
    <w:rsid w:val="00A84362"/>
    <w:rsid w:val="00A86F5A"/>
    <w:rsid w:val="00A908B9"/>
    <w:rsid w:val="00A966D1"/>
    <w:rsid w:val="00AA516E"/>
    <w:rsid w:val="00AC0DDE"/>
    <w:rsid w:val="00AC31D4"/>
    <w:rsid w:val="00AC3E39"/>
    <w:rsid w:val="00AC586B"/>
    <w:rsid w:val="00AD051C"/>
    <w:rsid w:val="00AD4BE6"/>
    <w:rsid w:val="00AE23E8"/>
    <w:rsid w:val="00AF2977"/>
    <w:rsid w:val="00AF52E2"/>
    <w:rsid w:val="00B023E9"/>
    <w:rsid w:val="00B03E01"/>
    <w:rsid w:val="00B10F17"/>
    <w:rsid w:val="00B1186F"/>
    <w:rsid w:val="00B141E2"/>
    <w:rsid w:val="00B15135"/>
    <w:rsid w:val="00B30431"/>
    <w:rsid w:val="00B51571"/>
    <w:rsid w:val="00B57E1F"/>
    <w:rsid w:val="00B721F9"/>
    <w:rsid w:val="00B753C6"/>
    <w:rsid w:val="00B81D83"/>
    <w:rsid w:val="00B862CA"/>
    <w:rsid w:val="00BA0ACD"/>
    <w:rsid w:val="00BB2AF8"/>
    <w:rsid w:val="00BB4A76"/>
    <w:rsid w:val="00BB7B54"/>
    <w:rsid w:val="00BC561B"/>
    <w:rsid w:val="00BC74C2"/>
    <w:rsid w:val="00BC7D22"/>
    <w:rsid w:val="00BD39EB"/>
    <w:rsid w:val="00BE7CDB"/>
    <w:rsid w:val="00BF056B"/>
    <w:rsid w:val="00BF55B9"/>
    <w:rsid w:val="00BF7A42"/>
    <w:rsid w:val="00C058E1"/>
    <w:rsid w:val="00C07183"/>
    <w:rsid w:val="00C15C8C"/>
    <w:rsid w:val="00C171CA"/>
    <w:rsid w:val="00C17BE2"/>
    <w:rsid w:val="00C2462C"/>
    <w:rsid w:val="00C2565A"/>
    <w:rsid w:val="00C344A5"/>
    <w:rsid w:val="00C35B02"/>
    <w:rsid w:val="00C40479"/>
    <w:rsid w:val="00C42AAC"/>
    <w:rsid w:val="00C453FD"/>
    <w:rsid w:val="00C50582"/>
    <w:rsid w:val="00C51FF1"/>
    <w:rsid w:val="00C56FA9"/>
    <w:rsid w:val="00C6256B"/>
    <w:rsid w:val="00C66597"/>
    <w:rsid w:val="00C7332C"/>
    <w:rsid w:val="00C74122"/>
    <w:rsid w:val="00C74500"/>
    <w:rsid w:val="00CA3C40"/>
    <w:rsid w:val="00CC1489"/>
    <w:rsid w:val="00CC52A3"/>
    <w:rsid w:val="00CC7AFF"/>
    <w:rsid w:val="00CD4358"/>
    <w:rsid w:val="00CE62A1"/>
    <w:rsid w:val="00CF08A6"/>
    <w:rsid w:val="00D037ED"/>
    <w:rsid w:val="00D07753"/>
    <w:rsid w:val="00D20170"/>
    <w:rsid w:val="00D212AA"/>
    <w:rsid w:val="00D22C34"/>
    <w:rsid w:val="00D36F9A"/>
    <w:rsid w:val="00D60600"/>
    <w:rsid w:val="00D64AC7"/>
    <w:rsid w:val="00D6711E"/>
    <w:rsid w:val="00D7622F"/>
    <w:rsid w:val="00DA2CC9"/>
    <w:rsid w:val="00DA5F9B"/>
    <w:rsid w:val="00DB021E"/>
    <w:rsid w:val="00DB359A"/>
    <w:rsid w:val="00DC187E"/>
    <w:rsid w:val="00DD703B"/>
    <w:rsid w:val="00DE3875"/>
    <w:rsid w:val="00DF5BFE"/>
    <w:rsid w:val="00E07512"/>
    <w:rsid w:val="00E10D6C"/>
    <w:rsid w:val="00E207B1"/>
    <w:rsid w:val="00E20E87"/>
    <w:rsid w:val="00E25D23"/>
    <w:rsid w:val="00E25D34"/>
    <w:rsid w:val="00E26828"/>
    <w:rsid w:val="00E406EC"/>
    <w:rsid w:val="00E42578"/>
    <w:rsid w:val="00E42FA0"/>
    <w:rsid w:val="00E43089"/>
    <w:rsid w:val="00E5360B"/>
    <w:rsid w:val="00E83F8D"/>
    <w:rsid w:val="00E8749D"/>
    <w:rsid w:val="00E94E4A"/>
    <w:rsid w:val="00EA2159"/>
    <w:rsid w:val="00EB4398"/>
    <w:rsid w:val="00EC33C5"/>
    <w:rsid w:val="00EC3589"/>
    <w:rsid w:val="00ED19E3"/>
    <w:rsid w:val="00ED72E4"/>
    <w:rsid w:val="00EF062E"/>
    <w:rsid w:val="00EF4C83"/>
    <w:rsid w:val="00EF6711"/>
    <w:rsid w:val="00EF7F14"/>
    <w:rsid w:val="00F05EC1"/>
    <w:rsid w:val="00F106A0"/>
    <w:rsid w:val="00F1246A"/>
    <w:rsid w:val="00F139DF"/>
    <w:rsid w:val="00F26956"/>
    <w:rsid w:val="00F27C7F"/>
    <w:rsid w:val="00F35F38"/>
    <w:rsid w:val="00F44B8C"/>
    <w:rsid w:val="00F510DA"/>
    <w:rsid w:val="00F5620F"/>
    <w:rsid w:val="00F61CF9"/>
    <w:rsid w:val="00F66767"/>
    <w:rsid w:val="00F67DFC"/>
    <w:rsid w:val="00F70FE8"/>
    <w:rsid w:val="00F76F77"/>
    <w:rsid w:val="00F801F9"/>
    <w:rsid w:val="00F80B39"/>
    <w:rsid w:val="00F85989"/>
    <w:rsid w:val="00F90F1F"/>
    <w:rsid w:val="00F9470C"/>
    <w:rsid w:val="00F96473"/>
    <w:rsid w:val="00F964BE"/>
    <w:rsid w:val="00FA2702"/>
    <w:rsid w:val="00FA271D"/>
    <w:rsid w:val="00FA287F"/>
    <w:rsid w:val="00FA7038"/>
    <w:rsid w:val="00FB3BF5"/>
    <w:rsid w:val="00FB4181"/>
    <w:rsid w:val="00FB7AFB"/>
    <w:rsid w:val="00FC0183"/>
    <w:rsid w:val="00FD415D"/>
    <w:rsid w:val="00FE4E30"/>
    <w:rsid w:val="00FF2DE3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D0AFC"/>
  <w15:docId w15:val="{7712E9A0-BB37-4A33-975B-2ACD92E6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41AC"/>
    <w:pPr>
      <w:spacing w:after="200" w:line="276" w:lineRule="auto"/>
    </w:pPr>
    <w:rPr>
      <w:sz w:val="22"/>
      <w:szCs w:val="22"/>
      <w:lang w:eastAsia="en-US"/>
    </w:rPr>
  </w:style>
  <w:style w:type="paragraph" w:styleId="Titolo2">
    <w:name w:val="heading 2"/>
    <w:next w:val="Normale"/>
    <w:link w:val="Titolo2Carattere"/>
    <w:uiPriority w:val="9"/>
    <w:unhideWhenUsed/>
    <w:qFormat/>
    <w:rsid w:val="005173E0"/>
    <w:pPr>
      <w:keepNext/>
      <w:keepLines/>
      <w:spacing w:after="4" w:line="259" w:lineRule="auto"/>
      <w:ind w:left="13" w:hanging="10"/>
      <w:outlineLvl w:val="1"/>
    </w:pPr>
    <w:rPr>
      <w:rFonts w:ascii="Times New Roman" w:eastAsia="Times New Roman" w:hAnsi="Times New Roman"/>
      <w:color w:val="000000"/>
      <w:sz w:val="22"/>
      <w:szCs w:val="22"/>
      <w:u w:val="single" w:color="000000"/>
      <w:lang w:val="it" w:eastAsia="el-G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567615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4E5A39"/>
    <w:pPr>
      <w:ind w:left="720"/>
      <w:contextualSpacing/>
    </w:pPr>
  </w:style>
  <w:style w:type="character" w:customStyle="1" w:styleId="s1">
    <w:name w:val="s1"/>
    <w:rsid w:val="004E5A39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4E5A39"/>
    <w:pPr>
      <w:spacing w:before="120" w:after="120" w:line="240" w:lineRule="auto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BB2A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link w:val="PreformattatoHTML"/>
    <w:uiPriority w:val="99"/>
    <w:rsid w:val="00BB2AF8"/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abletextrowsAgency">
    <w:name w:val="Table text rows (Agency)"/>
    <w:basedOn w:val="Normale"/>
    <w:semiHidden/>
    <w:rsid w:val="00265B61"/>
    <w:pPr>
      <w:spacing w:after="0" w:line="280" w:lineRule="exact"/>
    </w:pPr>
    <w:rPr>
      <w:rFonts w:ascii="Verdana" w:eastAsia="Times New Roman" w:hAnsi="Verdana" w:cs="Verdana"/>
      <w:sz w:val="18"/>
      <w:szCs w:val="18"/>
      <w:lang w:val="en-GB" w:eastAsia="zh-CN"/>
    </w:rPr>
  </w:style>
  <w:style w:type="paragraph" w:styleId="NormaleWeb">
    <w:name w:val="Normal (Web)"/>
    <w:basedOn w:val="Normale"/>
    <w:uiPriority w:val="99"/>
    <w:unhideWhenUsed/>
    <w:rsid w:val="00265B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styleId="Rimandocommento">
    <w:name w:val="annotation reference"/>
    <w:uiPriority w:val="99"/>
    <w:semiHidden/>
    <w:unhideWhenUsed/>
    <w:rsid w:val="00D36F9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36F9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rsid w:val="00D36F9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36F9A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D36F9A"/>
    <w:rPr>
      <w:b/>
      <w:bCs/>
      <w:sz w:val="20"/>
      <w:szCs w:val="20"/>
    </w:rPr>
  </w:style>
  <w:style w:type="character" w:styleId="Enfasigrassetto">
    <w:name w:val="Strong"/>
    <w:uiPriority w:val="22"/>
    <w:qFormat/>
    <w:rsid w:val="00022F32"/>
    <w:rPr>
      <w:b/>
      <w:bCs/>
    </w:rPr>
  </w:style>
  <w:style w:type="paragraph" w:styleId="Revisione">
    <w:name w:val="Revision"/>
    <w:hidden/>
    <w:uiPriority w:val="99"/>
    <w:semiHidden/>
    <w:rsid w:val="00022F32"/>
    <w:rPr>
      <w:sz w:val="22"/>
      <w:szCs w:val="22"/>
      <w:lang w:eastAsia="en-US"/>
    </w:rPr>
  </w:style>
  <w:style w:type="paragraph" w:customStyle="1" w:styleId="BodytextAgency">
    <w:name w:val="Body text (Agency)"/>
    <w:basedOn w:val="Normale"/>
    <w:uiPriority w:val="99"/>
    <w:rsid w:val="004509BC"/>
    <w:pPr>
      <w:spacing w:after="140" w:line="280" w:lineRule="atLeast"/>
    </w:pPr>
    <w:rPr>
      <w:rFonts w:ascii="Verdana" w:eastAsia="Times New Roman" w:hAnsi="Verdana" w:cs="Verdana"/>
      <w:sz w:val="18"/>
      <w:szCs w:val="18"/>
      <w:lang w:val="en-GB" w:eastAsia="en-GB"/>
    </w:rPr>
  </w:style>
  <w:style w:type="paragraph" w:styleId="Intestazione">
    <w:name w:val="header"/>
    <w:basedOn w:val="Normale"/>
    <w:link w:val="Intestazione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7183"/>
  </w:style>
  <w:style w:type="paragraph" w:styleId="Pidipagina">
    <w:name w:val="footer"/>
    <w:basedOn w:val="Normale"/>
    <w:link w:val="PidipaginaCarattere"/>
    <w:uiPriority w:val="99"/>
    <w:unhideWhenUsed/>
    <w:rsid w:val="00C071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7183"/>
  </w:style>
  <w:style w:type="character" w:customStyle="1" w:styleId="Titolo2Carattere">
    <w:name w:val="Titolo 2 Carattere"/>
    <w:link w:val="Titolo2"/>
    <w:uiPriority w:val="9"/>
    <w:rsid w:val="005173E0"/>
    <w:rPr>
      <w:rFonts w:ascii="Times New Roman" w:eastAsia="Times New Roman" w:hAnsi="Times New Roman"/>
      <w:color w:val="000000"/>
      <w:sz w:val="22"/>
      <w:szCs w:val="22"/>
      <w:u w:val="single" w:color="000000"/>
      <w:lang w:val="it" w:eastAsia="el-GR"/>
    </w:rPr>
  </w:style>
  <w:style w:type="paragraph" w:customStyle="1" w:styleId="Default">
    <w:name w:val="Default"/>
    <w:rsid w:val="0078315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80B3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4418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0451">
          <w:marLeft w:val="9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534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3358">
          <w:marLeft w:val="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5380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6776">
          <w:marLeft w:val="9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519">
          <w:marLeft w:val="995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1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4112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0817">
          <w:marLeft w:val="9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6995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554">
          <w:marLeft w:val="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722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0327">
          <w:marLeft w:val="9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18929">
          <w:marLeft w:val="995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edicinali.aifa.gov.it/it/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edicinali.aifa.gov.it/it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medicinali.aifa.gov.it/it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medicinali.aifa.gov.it/it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4C9437-023C-4EC8-99FE-FAADDA0BF3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9421ec-8c97-4074-8290-4fec1fc13b27}" enabled="0" method="" siteId="{f79421ec-8c97-4074-8290-4fec1fc13b2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2938</Words>
  <Characters>16749</Characters>
  <Application>Microsoft Office Word</Application>
  <DocSecurity>0</DocSecurity>
  <Lines>139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19648</CharactersWithSpaces>
  <SharedDoc>false</SharedDoc>
  <HLinks>
    <vt:vector size="24" baseType="variant">
      <vt:variant>
        <vt:i4>6291574</vt:i4>
      </vt:variant>
      <vt:variant>
        <vt:i4>9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</vt:lpwstr>
      </vt:variant>
      <vt:variant>
        <vt:i4>6291574</vt:i4>
      </vt:variant>
      <vt:variant>
        <vt:i4>6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</vt:lpwstr>
      </vt:variant>
      <vt:variant>
        <vt:i4>6291574</vt:i4>
      </vt:variant>
      <vt:variant>
        <vt:i4>3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/it/i</vt:lpwstr>
      </vt:variant>
      <vt:variant>
        <vt:i4>6291574</vt:i4>
      </vt:variant>
      <vt:variant>
        <vt:i4>0</vt:i4>
      </vt:variant>
      <vt:variant>
        <vt:i4>0</vt:i4>
      </vt:variant>
      <vt:variant>
        <vt:i4>5</vt:i4>
      </vt:variant>
      <vt:variant>
        <vt:lpwstr>https://medicinali.aifa.gov.it/it/</vt:lpwstr>
      </vt:variant>
      <vt:variant>
        <vt:lpwstr>/it/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AIFA</dc:creator>
  <cp:keywords/>
  <cp:revision>8</cp:revision>
  <dcterms:created xsi:type="dcterms:W3CDTF">2026-05-19T05:57:00Z</dcterms:created>
  <dcterms:modified xsi:type="dcterms:W3CDTF">2026-05-19T12:39:00Z</dcterms:modified>
</cp:coreProperties>
</file>